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工布江达县教育局202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工布江达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2021年1月1日至2021年12月31日。公众如需进一步咨询了解相关信息，可与我单位联系（单位地址：西藏林芝市工布江达县教育局；联系方式：0894-5412179；电子邮箱：gbjdxjyj@163.com;邮编860200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在县委、县政府的正确领导下，县教育局认真贯彻落实政务公开工作要求，我局全面加强组织领导、依法规范公开程序、狠抓制度落实、为政府信息公开工作的实施提供有效保障。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年以来，共公示“三包”和营养餐经费使用信息55份，另有师生评比评审公示文件、情况通报材料等50余份。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到公开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请，依申请公开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年，县教育局需公开政府信息经拟稿人、审稿人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分管领导逐级审核后，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符合公开要求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信息予以报送相关机构进行公开。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教育局政府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息公开平台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公区域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公示栏，无自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府信息公开平台。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2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工布江达县教育局在政府信息公开工作方面取得了一定的成效，但在加强信息管理、提升信息公开时效和丰富政务公开方式等方面还存在不足，还存在民众获取县教育局相关政务信息公开渠道单一性的问题。下一步我们将进一步加强对《中华人民共和国政府信息公开条例》的学习，加大信息公开的力度，增强信息公开的时效性，创新公开形式，拓宽教育信息传播渠道，实现为工布江达县人民群众提供更加方便、及时准确的教育信息和教育政务服务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adjustRightInd/>
        <w:snapToGrid/>
        <w:spacing w:before="0" w:after="0" w:line="576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工布江达县教育局    </w:t>
      </w:r>
    </w:p>
    <w:p>
      <w:pPr>
        <w:widowControl w:val="0"/>
        <w:numPr>
          <w:ilvl w:val="0"/>
          <w:numId w:val="0"/>
        </w:numPr>
        <w:wordWrap w:val="0"/>
        <w:adjustRightInd/>
        <w:snapToGrid/>
        <w:spacing w:before="0" w:after="0" w:line="576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2022年1月7日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1781</Words>
  <Characters>1874</Characters>
  <Paragraphs>420</Paragraphs>
  <TotalTime>3</TotalTime>
  <ScaleCrop>false</ScaleCrop>
  <LinksUpToDate>false</LinksUpToDate>
  <CharactersWithSpaces>1886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2022-01-07T14:19:00Z</dcterms:created>
  <dc:creator>陈杰</dc:creator>
  <cp:lastModifiedBy>Administrator</cp:lastModifiedBy>
  <dcterms:modified xsi:type="dcterms:W3CDTF">2022-01-12T07:34:42Z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de0057bd14ad495c836872b426323ac7</vt:lpwstr>
  </property>
</Properties>
</file>