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78A8C">
      <w:pPr>
        <w:keepNext w:val="0"/>
        <w:keepLines w:val="0"/>
        <w:pageBreakBefore w:val="0"/>
        <w:widowControl w:val="0"/>
        <w:kinsoku/>
        <w:wordWrap/>
        <w:overflowPunct/>
        <w:topLinePunct w:val="0"/>
        <w:autoSpaceDE/>
        <w:bidi w:val="0"/>
        <w:adjustRightInd/>
        <w:snapToGri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工布江达县司法</w:t>
      </w:r>
      <w:r>
        <w:rPr>
          <w:rFonts w:hint="eastAsia" w:ascii="方正小标宋简体" w:hAnsi="方正小标宋简体" w:eastAsia="方正小标宋简体" w:cs="方正小标宋简体"/>
          <w:sz w:val="44"/>
          <w:szCs w:val="44"/>
        </w:rPr>
        <w:t>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1B3C1E4A">
      <w:pPr>
        <w:keepNext w:val="0"/>
        <w:keepLines w:val="0"/>
        <w:pageBreakBefore w:val="0"/>
        <w:widowControl w:val="0"/>
        <w:kinsoku/>
        <w:wordWrap/>
        <w:overflowPunct/>
        <w:topLinePunct w:val="0"/>
        <w:autoSpaceDE/>
        <w:autoSpaceDN/>
        <w:bidi w:val="0"/>
        <w:adjustRightInd/>
        <w:snapToGrid/>
        <w:spacing w:line="576" w:lineRule="atLeast"/>
        <w:ind w:left="0" w:leftChars="0" w:firstLine="640" w:firstLineChars="200"/>
        <w:jc w:val="left"/>
        <w:textAlignment w:val="auto"/>
        <w:rPr>
          <w:rFonts w:hint="eastAsia" w:ascii="仿宋_GB2312" w:hAnsi="仿宋_GB2312" w:eastAsia="仿宋_GB2312" w:cs="仿宋_GB2312"/>
          <w:sz w:val="32"/>
          <w:szCs w:val="32"/>
        </w:rPr>
      </w:pPr>
    </w:p>
    <w:p w14:paraId="11C71806">
      <w:pPr>
        <w:keepNext w:val="0"/>
        <w:keepLines w:val="0"/>
        <w:pageBreakBefore w:val="0"/>
        <w:widowControl w:val="0"/>
        <w:kinsoku/>
        <w:wordWrap/>
        <w:overflowPunct/>
        <w:topLinePunct w:val="0"/>
        <w:autoSpaceDE/>
        <w:autoSpaceDN/>
        <w:bidi w:val="0"/>
        <w:adjustRightInd/>
        <w:snapToGrid/>
        <w:spacing w:line="576" w:lineRule="atLeas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中华人民共和国政府信息公开条例》(国务院令第711号，以下简称《条例》)以及《国务院办公厅政府信息与政务公开办公室关于印发&lt;中华人民共和国政府信息公开工作年度报告格式&gt;的通知》(国办公开办函〔2021〕30号)要求，</w:t>
      </w:r>
      <w:r>
        <w:rPr>
          <w:rFonts w:hint="eastAsia" w:ascii="仿宋_GB2312" w:hAnsi="仿宋_GB2312" w:eastAsia="仿宋_GB2312" w:cs="仿宋_GB2312"/>
          <w:sz w:val="32"/>
          <w:szCs w:val="32"/>
          <w:lang w:val="en-US" w:eastAsia="zh-CN"/>
        </w:rPr>
        <w:t>现公布林芝市工布江达县司法局2024年政府</w:t>
      </w:r>
      <w:r>
        <w:rPr>
          <w:rFonts w:hint="eastAsia" w:ascii="仿宋_GB2312" w:hAnsi="仿宋_GB2312" w:eastAsia="仿宋_GB2312" w:cs="仿宋_GB2312"/>
          <w:sz w:val="32"/>
          <w:szCs w:val="32"/>
        </w:rPr>
        <w:t>信息公开工作年度报告</w:t>
      </w:r>
      <w:r>
        <w:rPr>
          <w:rFonts w:hint="eastAsia" w:ascii="仿宋_GB2312" w:hAnsi="仿宋_GB2312" w:eastAsia="仿宋_GB2312" w:cs="仿宋_GB2312"/>
          <w:sz w:val="32"/>
          <w:szCs w:val="32"/>
          <w:lang w:eastAsia="zh-CN"/>
        </w:rPr>
        <w:t>。</w:t>
      </w:r>
    </w:p>
    <w:p w14:paraId="657659B6">
      <w:pPr>
        <w:keepNext w:val="0"/>
        <w:keepLines w:val="0"/>
        <w:pageBreakBefore w:val="0"/>
        <w:widowControl w:val="0"/>
        <w:kinsoku/>
        <w:wordWrap/>
        <w:overflowPunct/>
        <w:topLinePunct w:val="0"/>
        <w:autoSpaceDE/>
        <w:autoSpaceDN/>
        <w:bidi w:val="0"/>
        <w:adjustRightInd/>
        <w:snapToGrid/>
        <w:spacing w:line="576" w:lineRule="atLeast"/>
        <w:ind w:left="0" w:leftChars="0" w:firstLine="640" w:firstLineChars="200"/>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所列数据统计时限为2024年1月1日至2024年12月31日。报告电子版可在工布江达县人民政府网下载(http://www.gongbujiangda.gov.cn/)。</w:t>
      </w:r>
      <w:r>
        <w:rPr>
          <w:rFonts w:hint="eastAsia" w:ascii="仿宋_GB2312" w:hAnsi="仿宋_GB2312" w:eastAsia="仿宋_GB2312" w:cs="仿宋_GB2312"/>
          <w:sz w:val="32"/>
          <w:szCs w:val="32"/>
        </w:rPr>
        <w:t>公众如需进一步咨询了解相关信息，请与</w:t>
      </w:r>
      <w:r>
        <w:rPr>
          <w:rFonts w:hint="eastAsia" w:ascii="仿宋_GB2312" w:hAnsi="仿宋_GB2312" w:eastAsia="仿宋_GB2312" w:cs="仿宋_GB2312"/>
          <w:sz w:val="32"/>
          <w:szCs w:val="32"/>
          <w:lang w:val="en-US" w:eastAsia="zh-CN"/>
        </w:rPr>
        <w:t>司法局</w:t>
      </w: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val="en-US" w:eastAsia="zh-CN"/>
        </w:rPr>
        <w:t>工布江达县司法局</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lang w:val="en-US" w:eastAsia="zh-CN"/>
        </w:rPr>
        <w:t>860200</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0894-5413818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w:t>
      </w:r>
      <w:r>
        <w:rPr>
          <w:rFonts w:hint="eastAsia" w:ascii="黑体" w:hAnsi="黑体" w:eastAsia="黑体" w:cs="黑体"/>
          <w:sz w:val="32"/>
          <w:szCs w:val="32"/>
          <w:lang w:val="en-US" w:eastAsia="zh-CN"/>
        </w:rPr>
        <w:t>总体情况</w:t>
      </w:r>
    </w:p>
    <w:p w14:paraId="791DE9BD">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left="0" w:leftChars="0"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政府信息公开工作领导小组的正确领导和具体指导下，</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政府信息公开工作以科学发展观为指导，认真贯彻落实《条例》和《规定》，通过制定实施方案和相关办法进一步明确我局政府信息公开组织机构、工作程序，进一步健全完善我局政府信息公开工作机制、工作措施，坚持公正、公平、便民的原则，及时准确的公开政府信息，确保了公开内容的全面具体、公开程序的严密规范、公开形式的方便有效，不断提高了司法行政工作的透明度，有效促进了依法行政，充分发挥了司法行政工作信息对人民群众生产、生活和经济社会活动的服务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我局认真贯彻中央关于政府信息公开工作的一系列重要文件精神，认真执行《条例》及采取有效措施，扎扎实实做好政府信息公开工作，取得了良好成效。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主动公开政府信息情况</w:t>
      </w:r>
    </w:p>
    <w:p w14:paraId="794100F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2024年，工布江达县司法局向社会公开政府信息（西藏工布江达司法行政微信公众号）128条，其中政策文件类信息22条，基层动态16条，财务预决算0条，人事任免0条，政府工作报告0条，重点领域信息公布0条。</w:t>
      </w:r>
    </w:p>
    <w:p w14:paraId="548B33E5">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left="0" w:leftChars="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依申请公开情况</w:t>
      </w:r>
    </w:p>
    <w:p w14:paraId="2A34A46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2024年，工布江达县司法局共受理政府信息公开申请件0件,因政府信息公开引起的行政复议0件、行政诉讼0件,依法依规配合相关部门做好政府信息依申请公开答复。</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（三）政府信息管理</w:t>
      </w:r>
    </w:p>
    <w:p w14:paraId="4EDBFF3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我局强化政府信息的统筹管理：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对相关信息材料分类、分期有序管理；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对材料信息真实性反复核验，打好政务公开工作的基础；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加强政务公开工作的公开程度，以最大的诚意接受社会和群众的检查。我局政府信息公开年度报告争取做到格式规范、内容充实、文字简练。</w:t>
      </w:r>
    </w:p>
    <w:p w14:paraId="6B97747A">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（四）政府信息公开平台建设</w:t>
      </w:r>
    </w:p>
    <w:p w14:paraId="3FD8B99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不断完善微信公众号（西藏工布江达司法行政）的服务功能、政务模块，加强了政务信息与宣传信息的分类能力、加快了信息的检索整合速度，为建设利民便民的政务公开平台而持续发力。同时广泛接受社会和群众监督建议，有力地提升了政府形象和公信力，进一步强化了政务公开工作的常态化和规范</w:t>
      </w:r>
      <w:bookmarkStart w:id="0" w:name="_GoBack"/>
      <w:bookmarkEnd w:id="0"/>
      <w:r>
        <w:rPr>
          <w:rFonts w:hint="eastAsia" w:ascii="仿宋_GB2312" w:hAnsi="仿宋_GB2312" w:eastAsia="仿宋_GB2312" w:cs="仿宋_GB2312"/>
          <w:sz w:val="32"/>
          <w:szCs w:val="32"/>
          <w:lang w:val="en-US" w:eastAsia="zh-CN"/>
        </w:rPr>
        <w:t>化。</w:t>
      </w:r>
    </w:p>
    <w:p w14:paraId="7FF61BF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2"/>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1870"/>
        <w:gridCol w:w="1629"/>
        <w:gridCol w:w="1978"/>
      </w:tblGrid>
      <w:tr w14:paraId="3FB8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0CE2EAAF">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14:paraId="5534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14:paraId="7694405E">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870" w:type="dxa"/>
            <w:tcBorders>
              <w:top w:val="single" w:color="auto" w:sz="4" w:space="0"/>
              <w:left w:val="nil"/>
              <w:bottom w:val="single" w:color="auto" w:sz="4" w:space="0"/>
              <w:right w:val="single" w:color="auto" w:sz="4" w:space="0"/>
            </w:tcBorders>
            <w:vAlign w:val="center"/>
          </w:tcPr>
          <w:p w14:paraId="00199370">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1629" w:type="dxa"/>
            <w:tcBorders>
              <w:top w:val="single" w:color="auto" w:sz="4" w:space="0"/>
              <w:left w:val="nil"/>
              <w:bottom w:val="single" w:color="auto" w:sz="4" w:space="0"/>
              <w:right w:val="single" w:color="auto" w:sz="4" w:space="0"/>
            </w:tcBorders>
            <w:vAlign w:val="center"/>
          </w:tcPr>
          <w:p w14:paraId="1BA612AF">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978" w:type="dxa"/>
            <w:tcBorders>
              <w:top w:val="nil"/>
              <w:left w:val="nil"/>
              <w:bottom w:val="single" w:color="auto" w:sz="4" w:space="0"/>
              <w:right w:val="single" w:color="auto" w:sz="4" w:space="0"/>
            </w:tcBorders>
            <w:vAlign w:val="center"/>
          </w:tcPr>
          <w:p w14:paraId="2286C903">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14:paraId="7E12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1B6ADDDC">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870" w:type="dxa"/>
            <w:tcBorders>
              <w:top w:val="single" w:color="auto" w:sz="4" w:space="0"/>
              <w:left w:val="nil"/>
              <w:bottom w:val="single" w:color="auto" w:sz="4" w:space="0"/>
              <w:right w:val="single" w:color="auto" w:sz="4" w:space="0"/>
            </w:tcBorders>
            <w:vAlign w:val="center"/>
          </w:tcPr>
          <w:p w14:paraId="572AF2D8">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single" w:color="auto" w:sz="4" w:space="0"/>
              <w:left w:val="nil"/>
              <w:bottom w:val="single" w:color="auto" w:sz="4" w:space="0"/>
              <w:right w:val="single" w:color="auto" w:sz="4" w:space="0"/>
            </w:tcBorders>
            <w:vAlign w:val="center"/>
          </w:tcPr>
          <w:p w14:paraId="11F954B6">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14:paraId="4969A4F6">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30C7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7451CA9E">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1870" w:type="dxa"/>
            <w:tcBorders>
              <w:top w:val="nil"/>
              <w:left w:val="nil"/>
              <w:bottom w:val="single" w:color="auto" w:sz="4" w:space="0"/>
              <w:right w:val="single" w:color="auto" w:sz="4" w:space="0"/>
            </w:tcBorders>
            <w:vAlign w:val="center"/>
          </w:tcPr>
          <w:p w14:paraId="311B9AE5">
            <w:pPr>
              <w:keepNext w:val="0"/>
              <w:keepLines w:val="0"/>
              <w:pageBreakBefore w:val="0"/>
              <w:widowControl w:val="0"/>
              <w:kinsoku/>
              <w:wordWrap/>
              <w:overflowPunct/>
              <w:topLinePunct w:val="0"/>
              <w:autoSpaceDE/>
              <w:autoSpaceDN w:val="0"/>
              <w:bidi w:val="0"/>
              <w:adjustRightInd/>
              <w:snapToGrid/>
              <w:spacing w:beforeAutospacing="0" w:afterAutospacing="0" w:line="576" w:lineRule="exact"/>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nil"/>
              <w:left w:val="nil"/>
              <w:bottom w:val="single" w:color="auto" w:sz="4" w:space="0"/>
              <w:right w:val="single" w:color="auto" w:sz="4" w:space="0"/>
            </w:tcBorders>
            <w:vAlign w:val="center"/>
          </w:tcPr>
          <w:p w14:paraId="3E6C6B53">
            <w:pPr>
              <w:keepNext w:val="0"/>
              <w:keepLines w:val="0"/>
              <w:pageBreakBefore w:val="0"/>
              <w:widowControl w:val="0"/>
              <w:kinsoku/>
              <w:wordWrap/>
              <w:overflowPunct/>
              <w:topLinePunct w:val="0"/>
              <w:autoSpaceDE/>
              <w:autoSpaceDN w:val="0"/>
              <w:bidi w:val="0"/>
              <w:adjustRightInd/>
              <w:snapToGrid/>
              <w:spacing w:beforeAutospacing="0" w:afterAutospacing="0" w:line="576" w:lineRule="exact"/>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14:paraId="687D5901">
            <w:pPr>
              <w:keepNext w:val="0"/>
              <w:keepLines w:val="0"/>
              <w:pageBreakBefore w:val="0"/>
              <w:widowControl w:val="0"/>
              <w:kinsoku/>
              <w:wordWrap/>
              <w:overflowPunct/>
              <w:topLinePunct w:val="0"/>
              <w:autoSpaceDE/>
              <w:autoSpaceDN w:val="0"/>
              <w:bidi w:val="0"/>
              <w:adjustRightInd/>
              <w:snapToGrid/>
              <w:spacing w:beforeAutospacing="0" w:afterAutospacing="0" w:line="576" w:lineRule="exact"/>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1778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1E8BDE7B">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14:paraId="3862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14:paraId="23774CFF">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14:paraId="68445B3C">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14:paraId="462D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1F9C7A41">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5477" w:type="dxa"/>
            <w:gridSpan w:val="3"/>
            <w:tcBorders>
              <w:top w:val="nil"/>
              <w:left w:val="nil"/>
              <w:bottom w:val="single" w:color="auto" w:sz="4" w:space="0"/>
              <w:right w:val="single" w:color="auto" w:sz="4" w:space="0"/>
            </w:tcBorders>
            <w:vAlign w:val="center"/>
          </w:tcPr>
          <w:p w14:paraId="12963F27">
            <w:pPr>
              <w:keepNext w:val="0"/>
              <w:keepLines w:val="0"/>
              <w:pageBreakBefore w:val="0"/>
              <w:widowControl w:val="0"/>
              <w:tabs>
                <w:tab w:val="left" w:pos="1279"/>
              </w:tabs>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ab/>
            </w:r>
            <w:r>
              <w:rPr>
                <w:rFonts w:hint="eastAsia" w:ascii="仿宋_GB2312" w:hAnsi="仿宋_GB2312" w:eastAsia="仿宋_GB2312" w:cs="仿宋_GB2312"/>
                <w:b w:val="0"/>
                <w:bCs w:val="0"/>
                <w:color w:val="auto"/>
                <w:kern w:val="0"/>
                <w:sz w:val="20"/>
                <w:szCs w:val="20"/>
                <w:lang w:val="en-US" w:eastAsia="zh-CN"/>
              </w:rPr>
              <w:t xml:space="preserve">         0</w:t>
            </w:r>
          </w:p>
        </w:tc>
      </w:tr>
      <w:tr w14:paraId="41F0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0501914A">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14:paraId="2901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14:paraId="418E5FA1">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14:paraId="6A41E279">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14:paraId="2F95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069CE05C">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5477" w:type="dxa"/>
            <w:gridSpan w:val="3"/>
            <w:tcBorders>
              <w:top w:val="single" w:color="auto" w:sz="4" w:space="0"/>
              <w:left w:val="nil"/>
              <w:bottom w:val="single" w:color="auto" w:sz="4" w:space="0"/>
              <w:right w:val="single" w:color="auto" w:sz="4" w:space="0"/>
            </w:tcBorders>
            <w:vAlign w:val="center"/>
          </w:tcPr>
          <w:p w14:paraId="101E0769">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0021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23CECF38">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5477" w:type="dxa"/>
            <w:gridSpan w:val="3"/>
            <w:tcBorders>
              <w:top w:val="nil"/>
              <w:left w:val="nil"/>
              <w:bottom w:val="single" w:color="auto" w:sz="4" w:space="0"/>
              <w:right w:val="single" w:color="auto" w:sz="4" w:space="0"/>
            </w:tcBorders>
            <w:vAlign w:val="center"/>
          </w:tcPr>
          <w:p w14:paraId="37423559">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3CDE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6EE9F4B5">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14:paraId="7CD1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2D0AF346">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nil"/>
              <w:left w:val="nil"/>
              <w:bottom w:val="single" w:color="auto" w:sz="4" w:space="0"/>
              <w:right w:val="single" w:color="000000" w:sz="4" w:space="0"/>
            </w:tcBorders>
            <w:vAlign w:val="center"/>
          </w:tcPr>
          <w:p w14:paraId="6FB39D8F">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本年收费金额（单位：万元）</w:t>
            </w:r>
          </w:p>
        </w:tc>
      </w:tr>
      <w:tr w14:paraId="20B5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544BEA2F">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5477" w:type="dxa"/>
            <w:gridSpan w:val="3"/>
            <w:tcBorders>
              <w:top w:val="nil"/>
              <w:left w:val="nil"/>
              <w:bottom w:val="single" w:color="auto" w:sz="4" w:space="0"/>
              <w:right w:val="single" w:color="000000" w:sz="4" w:space="0"/>
            </w:tcBorders>
            <w:vAlign w:val="center"/>
          </w:tcPr>
          <w:p w14:paraId="0F371AC7">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bl>
    <w:p w14:paraId="6CFE44D7">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14:paraId="58AC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vAlign w:val="center"/>
          </w:tcPr>
          <w:p w14:paraId="5A4F811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331" w:type="dxa"/>
            <w:gridSpan w:val="7"/>
            <w:tcBorders>
              <w:tl2br w:val="nil"/>
              <w:tr2bl w:val="nil"/>
            </w:tcBorders>
            <w:vAlign w:val="center"/>
          </w:tcPr>
          <w:p w14:paraId="7DC93A8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14:paraId="6BF3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vAlign w:val="center"/>
          </w:tcPr>
          <w:p w14:paraId="7F16BF6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restart"/>
            <w:tcBorders>
              <w:tl2br w:val="nil"/>
              <w:tr2bl w:val="nil"/>
            </w:tcBorders>
            <w:vAlign w:val="center"/>
          </w:tcPr>
          <w:p w14:paraId="4CE1CF3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3908" w:type="dxa"/>
            <w:gridSpan w:val="5"/>
            <w:tcBorders>
              <w:tl2br w:val="nil"/>
              <w:tr2bl w:val="nil"/>
            </w:tcBorders>
            <w:vAlign w:val="center"/>
          </w:tcPr>
          <w:p w14:paraId="7E317DF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691" w:type="dxa"/>
            <w:vMerge w:val="restart"/>
            <w:tcBorders>
              <w:tl2br w:val="nil"/>
              <w:tr2bl w:val="nil"/>
            </w:tcBorders>
            <w:vAlign w:val="center"/>
          </w:tcPr>
          <w:p w14:paraId="5DFEDCA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14:paraId="69D6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vAlign w:val="center"/>
          </w:tcPr>
          <w:p w14:paraId="2936D56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continue"/>
            <w:tcBorders>
              <w:tl2br w:val="nil"/>
              <w:tr2bl w:val="nil"/>
            </w:tcBorders>
            <w:vAlign w:val="center"/>
          </w:tcPr>
          <w:p w14:paraId="457BF50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675" w:type="dxa"/>
            <w:tcBorders>
              <w:tl2br w:val="nil"/>
              <w:tr2bl w:val="nil"/>
            </w:tcBorders>
            <w:vAlign w:val="center"/>
          </w:tcPr>
          <w:p w14:paraId="0E0DD1E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70" w:type="dxa"/>
            <w:tcBorders>
              <w:tl2br w:val="nil"/>
              <w:tr2bl w:val="nil"/>
            </w:tcBorders>
            <w:vAlign w:val="center"/>
          </w:tcPr>
          <w:p w14:paraId="7EB7626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92" w:type="dxa"/>
            <w:tcBorders>
              <w:tl2br w:val="nil"/>
              <w:tr2bl w:val="nil"/>
            </w:tcBorders>
            <w:vAlign w:val="center"/>
          </w:tcPr>
          <w:p w14:paraId="2C53576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21" w:type="dxa"/>
            <w:tcBorders>
              <w:tl2br w:val="nil"/>
              <w:tr2bl w:val="nil"/>
            </w:tcBorders>
            <w:vAlign w:val="center"/>
          </w:tcPr>
          <w:p w14:paraId="3362182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650" w:type="dxa"/>
            <w:tcBorders>
              <w:tl2br w:val="nil"/>
              <w:tr2bl w:val="nil"/>
            </w:tcBorders>
            <w:vAlign w:val="center"/>
          </w:tcPr>
          <w:p w14:paraId="1131A6D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691" w:type="dxa"/>
            <w:vMerge w:val="continue"/>
            <w:tcBorders>
              <w:tl2br w:val="nil"/>
              <w:tr2bl w:val="nil"/>
            </w:tcBorders>
            <w:vAlign w:val="center"/>
          </w:tcPr>
          <w:p w14:paraId="27C7525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14:paraId="782C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14:paraId="5FFEE1D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732" w:type="dxa"/>
            <w:tcBorders>
              <w:tl2br w:val="nil"/>
              <w:tr2bl w:val="nil"/>
            </w:tcBorders>
            <w:vAlign w:val="center"/>
          </w:tcPr>
          <w:p w14:paraId="475461D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67AF937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45879CC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096AC2A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39B8C5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51AA5B2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B0AA02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0E46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14:paraId="1DFA1F5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732" w:type="dxa"/>
            <w:tcBorders>
              <w:tl2br w:val="nil"/>
              <w:tr2bl w:val="nil"/>
            </w:tcBorders>
            <w:vAlign w:val="center"/>
          </w:tcPr>
          <w:p w14:paraId="4F8E404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4B571B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5C7A68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AF41F1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5109B7E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4788E2C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430C21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6978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restart"/>
            <w:tcBorders>
              <w:tl2br w:val="nil"/>
              <w:tr2bl w:val="nil"/>
            </w:tcBorders>
            <w:vAlign w:val="center"/>
          </w:tcPr>
          <w:p w14:paraId="3BD3FED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3F17812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70F6FE2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7ED6839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BD454D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58B5FFD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3EEA47A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475A1B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339CBB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12F923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64EB12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B6EBF7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2CC3DC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55C289A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E73661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30EAD8E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3E39F4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63B57B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3C5E05B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6AE4FC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658D79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3205" w:type="dxa"/>
            <w:gridSpan w:val="2"/>
            <w:tcBorders>
              <w:tl2br w:val="nil"/>
              <w:tr2bl w:val="nil"/>
            </w:tcBorders>
            <w:vAlign w:val="center"/>
          </w:tcPr>
          <w:p w14:paraId="7F49272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732" w:type="dxa"/>
            <w:tcBorders>
              <w:tl2br w:val="nil"/>
              <w:tr2bl w:val="nil"/>
            </w:tcBorders>
            <w:vAlign w:val="center"/>
          </w:tcPr>
          <w:p w14:paraId="5B18E9A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3AA34EF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297E493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3CE4741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6214DB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1739CD2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67E7C7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4CB3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DBEB1D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14:paraId="43D279D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732" w:type="dxa"/>
            <w:tcBorders>
              <w:tl2br w:val="nil"/>
              <w:tr2bl w:val="nil"/>
            </w:tcBorders>
            <w:vAlign w:val="center"/>
          </w:tcPr>
          <w:p w14:paraId="1F5CD97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4AFDFEE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40816A4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45477C4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159A7B5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17F0767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F5238D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496E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AA0042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489A939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0C82629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35F179A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10E7632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7B301D1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401" w:type="dxa"/>
            <w:tcBorders>
              <w:tl2br w:val="nil"/>
              <w:tr2bl w:val="nil"/>
            </w:tcBorders>
            <w:vAlign w:val="center"/>
          </w:tcPr>
          <w:p w14:paraId="04EFA8E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732" w:type="dxa"/>
            <w:tcBorders>
              <w:tl2br w:val="nil"/>
              <w:tr2bl w:val="nil"/>
            </w:tcBorders>
            <w:vAlign w:val="center"/>
          </w:tcPr>
          <w:p w14:paraId="24F2360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CDFA26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1B7DB0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5117892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40D5E27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2E9765B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A2A4FA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2A8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6C93F9F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0185E38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7A4638A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732" w:type="dxa"/>
            <w:tcBorders>
              <w:tl2br w:val="nil"/>
              <w:tr2bl w:val="nil"/>
            </w:tcBorders>
            <w:vAlign w:val="center"/>
          </w:tcPr>
          <w:p w14:paraId="211EF91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03862B0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7D5BEDE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25189DC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4F6E14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623A62E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4F8B462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24AE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2ACE2FD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06E03D9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22038F6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732" w:type="dxa"/>
            <w:tcBorders>
              <w:tl2br w:val="nil"/>
              <w:tr2bl w:val="nil"/>
            </w:tcBorders>
            <w:vAlign w:val="center"/>
          </w:tcPr>
          <w:p w14:paraId="3C58485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4A38949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2D4565D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5808B4B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07ACA54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084D7BD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3839A15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7C2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1844B67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F6769A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29E743D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732" w:type="dxa"/>
            <w:tcBorders>
              <w:tl2br w:val="nil"/>
              <w:tr2bl w:val="nil"/>
            </w:tcBorders>
            <w:vAlign w:val="center"/>
          </w:tcPr>
          <w:p w14:paraId="7E51243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C5413E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505A905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00CDF2E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59E0A96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44CC64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A1F379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29DB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F9FEBA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4CEAA54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0F8832D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732" w:type="dxa"/>
            <w:tcBorders>
              <w:tl2br w:val="nil"/>
              <w:tr2bl w:val="nil"/>
            </w:tcBorders>
            <w:vAlign w:val="center"/>
          </w:tcPr>
          <w:p w14:paraId="0F6E9D4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78A1E50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625CAC9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8DBD43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FE41F2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6D2DB2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0C137F8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7380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3E13CC4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1DA78AB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4466016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732" w:type="dxa"/>
            <w:tcBorders>
              <w:tl2br w:val="nil"/>
              <w:tr2bl w:val="nil"/>
            </w:tcBorders>
            <w:vAlign w:val="center"/>
          </w:tcPr>
          <w:p w14:paraId="4143CA9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EAF005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174BCFD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3AE4BB3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16FEF12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0E0DE8E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E29B59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0ED2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58A220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3F31732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6A00664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732" w:type="dxa"/>
            <w:tcBorders>
              <w:tl2br w:val="nil"/>
              <w:tr2bl w:val="nil"/>
            </w:tcBorders>
            <w:vAlign w:val="center"/>
          </w:tcPr>
          <w:p w14:paraId="74B1189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610B5BF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5AB2293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72959F9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0D5E167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6A700D5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C99890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3C7F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3B4C06B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5B565C5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5EA4FAA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732" w:type="dxa"/>
            <w:tcBorders>
              <w:tl2br w:val="nil"/>
              <w:tr2bl w:val="nil"/>
            </w:tcBorders>
            <w:vAlign w:val="center"/>
          </w:tcPr>
          <w:p w14:paraId="23BCEF4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A4D730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19290B7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C29494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00854D2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2855A5B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BE73DE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08E2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7863749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5A310E4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401" w:type="dxa"/>
            <w:tcBorders>
              <w:tl2br w:val="nil"/>
              <w:tr2bl w:val="nil"/>
            </w:tcBorders>
            <w:vAlign w:val="center"/>
          </w:tcPr>
          <w:p w14:paraId="3AD5AF9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732" w:type="dxa"/>
            <w:tcBorders>
              <w:tl2br w:val="nil"/>
              <w:tr2bl w:val="nil"/>
            </w:tcBorders>
            <w:vAlign w:val="center"/>
          </w:tcPr>
          <w:p w14:paraId="6BF98FE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4B0E975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757A053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E8AF62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7D45ADA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04D835B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ADC074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1E2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20197E7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09ACE06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27B9B71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732" w:type="dxa"/>
            <w:tcBorders>
              <w:tl2br w:val="nil"/>
              <w:tr2bl w:val="nil"/>
            </w:tcBorders>
            <w:vAlign w:val="center"/>
          </w:tcPr>
          <w:p w14:paraId="7E1D55F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483A4E7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7F72F3A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7CA3517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53CFDB6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9D377D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7A73204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640D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67DF2E3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1428BFB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6582E00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732" w:type="dxa"/>
            <w:tcBorders>
              <w:tl2br w:val="nil"/>
              <w:tr2bl w:val="nil"/>
            </w:tcBorders>
            <w:vAlign w:val="center"/>
          </w:tcPr>
          <w:p w14:paraId="40CDD6F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2C0E4E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610EDBD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487A9D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7BB5759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571AE72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54BDFA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24F2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23E9EA3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6126AB1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401" w:type="dxa"/>
            <w:tcBorders>
              <w:tl2br w:val="nil"/>
              <w:tr2bl w:val="nil"/>
            </w:tcBorders>
            <w:vAlign w:val="center"/>
          </w:tcPr>
          <w:p w14:paraId="13DFD14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732" w:type="dxa"/>
            <w:tcBorders>
              <w:tl2br w:val="nil"/>
              <w:tr2bl w:val="nil"/>
            </w:tcBorders>
            <w:vAlign w:val="center"/>
          </w:tcPr>
          <w:p w14:paraId="1E08BF4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41E37B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3CD75F1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27E51F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DB6E7D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07D375A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12A986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27F6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E7D73D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12054F2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56A2524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732" w:type="dxa"/>
            <w:tcBorders>
              <w:tl2br w:val="nil"/>
              <w:tr2bl w:val="nil"/>
            </w:tcBorders>
            <w:vAlign w:val="center"/>
          </w:tcPr>
          <w:p w14:paraId="4D43F1D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EC799A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28754CE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0F1D6B9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0EF13B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773C9CB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631B126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68FE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A8A7B6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19A3AED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645D957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732" w:type="dxa"/>
            <w:tcBorders>
              <w:tl2br w:val="nil"/>
              <w:tr2bl w:val="nil"/>
            </w:tcBorders>
            <w:vAlign w:val="center"/>
          </w:tcPr>
          <w:p w14:paraId="6DF092A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67E9577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13A8D56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0444474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9AE5A2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76A5CD6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7624466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14B5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5F8A7B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72DEC59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7DC0D7A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732" w:type="dxa"/>
            <w:tcBorders>
              <w:tl2br w:val="nil"/>
              <w:tr2bl w:val="nil"/>
            </w:tcBorders>
            <w:vAlign w:val="center"/>
          </w:tcPr>
          <w:p w14:paraId="3C01E43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06BA0B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152337C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26F7313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5DD323C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29B9BAC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5BB53B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37E2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054C2D0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6278D5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39A0171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sz w:val="21"/>
                <w:szCs w:val="21"/>
              </w:rPr>
              <w:t>5.要求行政机关确认或重新出具已获取信息</w:t>
            </w:r>
          </w:p>
        </w:tc>
        <w:tc>
          <w:tcPr>
            <w:tcW w:w="732" w:type="dxa"/>
            <w:tcBorders>
              <w:tl2br w:val="nil"/>
              <w:tr2bl w:val="nil"/>
            </w:tcBorders>
            <w:vAlign w:val="center"/>
          </w:tcPr>
          <w:p w14:paraId="36AAD13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082B796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15117D9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5BE4E9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2449463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66934A3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757612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6773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14:paraId="535E410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113A3B1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2401" w:type="dxa"/>
            <w:tcBorders>
              <w:tl2br w:val="nil"/>
              <w:tr2bl w:val="nil"/>
            </w:tcBorders>
            <w:vAlign w:val="center"/>
          </w:tcPr>
          <w:p w14:paraId="40B780C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1.申请人无正当理由逾期不补正、行政机关不再处理其政府信息公开申请</w:t>
            </w:r>
          </w:p>
        </w:tc>
        <w:tc>
          <w:tcPr>
            <w:tcW w:w="732" w:type="dxa"/>
            <w:tcBorders>
              <w:tl2br w:val="nil"/>
              <w:tr2bl w:val="nil"/>
            </w:tcBorders>
            <w:vAlign w:val="center"/>
          </w:tcPr>
          <w:p w14:paraId="319F75C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B0DB6E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7DD47B8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71D6E26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2E34DA7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7070500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75F0FF0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7937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14:paraId="5647008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F508F9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1EA1697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2.申请人逾期未按收费通知要求缴纳费用、行政机关不再处理其政府信息公开申请</w:t>
            </w:r>
          </w:p>
        </w:tc>
        <w:tc>
          <w:tcPr>
            <w:tcW w:w="732" w:type="dxa"/>
            <w:tcBorders>
              <w:tl2br w:val="nil"/>
              <w:tr2bl w:val="nil"/>
            </w:tcBorders>
            <w:vAlign w:val="center"/>
          </w:tcPr>
          <w:p w14:paraId="458D4E6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F0A58C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1B64E23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3728A2A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31C17F4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4E5F99C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73CCAE5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52A4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253A47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5F80AB7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15D3BC2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3.其他</w:t>
            </w:r>
          </w:p>
        </w:tc>
        <w:tc>
          <w:tcPr>
            <w:tcW w:w="732" w:type="dxa"/>
            <w:tcBorders>
              <w:tl2br w:val="nil"/>
              <w:tr2bl w:val="nil"/>
            </w:tcBorders>
            <w:vAlign w:val="center"/>
          </w:tcPr>
          <w:p w14:paraId="706BDF6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9F6A27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F2B71C0">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5C88307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422A8A4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20BE627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AFF3F2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615C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C791A9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14:paraId="6FF6E0E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732" w:type="dxa"/>
            <w:tcBorders>
              <w:tl2br w:val="nil"/>
              <w:tr2bl w:val="nil"/>
            </w:tcBorders>
            <w:vAlign w:val="center"/>
          </w:tcPr>
          <w:p w14:paraId="55C8AED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609257A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E7BA12B">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22EB7DF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714739BC">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6CC9104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2E8D6D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3907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68" w:type="dxa"/>
            <w:gridSpan w:val="3"/>
            <w:tcBorders>
              <w:tl2br w:val="nil"/>
              <w:tr2bl w:val="nil"/>
            </w:tcBorders>
            <w:vAlign w:val="center"/>
          </w:tcPr>
          <w:p w14:paraId="086579E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732" w:type="dxa"/>
            <w:tcBorders>
              <w:tl2br w:val="nil"/>
              <w:tr2bl w:val="nil"/>
            </w:tcBorders>
            <w:vAlign w:val="center"/>
          </w:tcPr>
          <w:p w14:paraId="7E6C836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802E9C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6B060C1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7B709F7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00A14AF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2034656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E7C37D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14:paraId="551DA8A4">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FCE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14:paraId="4FB14C7D">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14:paraId="2944FB52">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14:paraId="14D9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14:paraId="1D299E1A">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14:paraId="5CCC9802">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14:paraId="12D0FDA8">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14:paraId="00BF79F8">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14:paraId="22C0BF11">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14:paraId="6CB48F81">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14:paraId="49C4EB61">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14:paraId="31AB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14:paraId="727F029A">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14:paraId="7BAB5682">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119F4125">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0248DA40">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14:paraId="65620346">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14:paraId="2660623E">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32BDD4E7">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484EB3D3">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14:paraId="43C8ACBB">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14:paraId="47EC9AB1">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14:paraId="03358052">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503C7185">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2E3B568D">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14:paraId="57F6E703">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14:paraId="5E64B232">
            <w:pPr>
              <w:keepNext w:val="0"/>
              <w:keepLines w:val="0"/>
              <w:pageBreakBefore w:val="0"/>
              <w:widowControl w:val="0"/>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14:paraId="0F07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00099D6A">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42DE525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4AE9E1F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2C2D29E6">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14:paraId="22165551">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14:paraId="2F0645C2">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6980F9A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1907E6C9">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32CBF9A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2174871F">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3C76B18E">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53859063">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281209D7">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47C277DD">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23B7D044">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14:paraId="5A50BC2C">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存在的</w:t>
      </w:r>
      <w:r>
        <w:rPr>
          <w:rFonts w:hint="eastAsia" w:ascii="黑体" w:hAnsi="黑体" w:eastAsia="黑体" w:cs="黑体"/>
          <w:sz w:val="32"/>
          <w:szCs w:val="32"/>
        </w:rPr>
        <w:t>主要问题及改进情况</w:t>
      </w:r>
      <w:r>
        <w:rPr>
          <w:rFonts w:hint="eastAsia" w:ascii="黑体" w:hAnsi="黑体" w:eastAsia="黑体" w:cs="黑体"/>
          <w:sz w:val="32"/>
          <w:szCs w:val="32"/>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我局政府信息公开工作虽然取得了一定成效，但在信息公开内容的全面性、制度建设方面仍需进一步推进。下一步，我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将严格按照《条例》要求，紧密结合我局实际情况，着力从以下几个方面改进工作：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)进一步强化政府信息公开意识。</w:t>
      </w:r>
      <w:r>
        <w:rPr>
          <w:rFonts w:hint="eastAsia" w:ascii="仿宋_GB2312" w:hAnsi="仿宋_GB2312" w:eastAsia="仿宋_GB2312" w:cs="仿宋_GB2312"/>
          <w:sz w:val="32"/>
          <w:szCs w:val="32"/>
        </w:rPr>
        <w:t>继续开展政府信息公开教育，认真学习《条例》及相关文件，学习政府信息公开相关知识，切实提高对政府信息公开重大意义的认识，不断深化公开理念，增强推进政府信息公开的紧迫感和责任感。</w:t>
      </w:r>
    </w:p>
    <w:p w14:paraId="0D20A1DE">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进一步完善和落实政府信息公开工作机制和制度规范。</w:t>
      </w:r>
      <w:r>
        <w:rPr>
          <w:rFonts w:hint="eastAsia" w:ascii="仿宋_GB2312" w:hAnsi="仿宋_GB2312" w:eastAsia="仿宋_GB2312" w:cs="仿宋_GB2312"/>
          <w:sz w:val="32"/>
          <w:szCs w:val="32"/>
        </w:rPr>
        <w:t>健全主动申请和依申请公开等工作细则，加大落实政府信息发布协调机制、保密审查机制、年度报告制度、监督和考核机制等力度，不断提高局政府信息公开工作制度化、规范化水平。</w:t>
      </w:r>
    </w:p>
    <w:p w14:paraId="385E0526">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left="0" w:leftChars="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进一步丰富政府信息公开内容。</w:t>
      </w:r>
      <w:r>
        <w:rPr>
          <w:rFonts w:hint="eastAsia" w:ascii="仿宋_GB2312" w:hAnsi="仿宋_GB2312" w:eastAsia="仿宋_GB2312" w:cs="仿宋_GB2312"/>
          <w:sz w:val="32"/>
          <w:szCs w:val="32"/>
        </w:rPr>
        <w:t>梳理应主动公开政府信息，细化分类、规范表述，特别要在做好公文类信息公开的同时，不断拓展业务类、决策类等信息公开内容，使信息公开内容更加符合群众的需求。</w:t>
      </w:r>
    </w:p>
    <w:p w14:paraId="790D478F">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333333"/>
          <w:spacing w:val="0"/>
          <w:kern w:val="0"/>
          <w:sz w:val="32"/>
          <w:szCs w:val="32"/>
          <w:shd w:val="clear" w:fill="FFFFFF"/>
          <w:lang w:val="en-US" w:eastAsia="zh-CN" w:bidi="ar"/>
        </w:rPr>
        <w:t>六、其他需要报告的事项</w:t>
      </w:r>
    </w:p>
    <w:p w14:paraId="46113028">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暂无其他需要报告的事项。</w:t>
      </w:r>
    </w:p>
    <w:p w14:paraId="16444635">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righ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39DFFCA3">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righ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0C22B1C4">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right"/>
        <w:textAlignment w:val="auto"/>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工布江达县司法局</w:t>
      </w:r>
    </w:p>
    <w:p w14:paraId="3BCFCD31">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center"/>
        <w:textAlignment w:val="auto"/>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xml:space="preserve">                                   2024年12月31日</w:t>
      </w:r>
    </w:p>
    <w:p w14:paraId="6E165CB8">
      <w:pPr>
        <w:keepNext w:val="0"/>
        <w:keepLines w:val="0"/>
        <w:pageBreakBefore w:val="0"/>
        <w:widowControl w:val="0"/>
        <w:numPr>
          <w:ilvl w:val="0"/>
          <w:numId w:val="0"/>
        </w:numPr>
        <w:kinsoku/>
        <w:wordWrap/>
        <w:overflowPunct/>
        <w:topLinePunct w:val="0"/>
        <w:autoSpaceDE/>
        <w:autoSpaceDN/>
        <w:bidi w:val="0"/>
        <w:adjustRightInd/>
        <w:snapToGrid/>
        <w:spacing w:line="576" w:lineRule="atLeast"/>
        <w:ind w:left="0" w:leftChars="0"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00000000"/>
    <w:rsid w:val="23D72D23"/>
    <w:rsid w:val="26BD69D5"/>
    <w:rsid w:val="2D29387C"/>
    <w:rsid w:val="35872B47"/>
    <w:rsid w:val="3F6F63FE"/>
    <w:rsid w:val="42E67E18"/>
    <w:rsid w:val="455A248C"/>
    <w:rsid w:val="52C0627E"/>
    <w:rsid w:val="542C309D"/>
    <w:rsid w:val="646F5944"/>
    <w:rsid w:val="69F32F6D"/>
    <w:rsid w:val="7AD72F0D"/>
    <w:rsid w:val="7BB5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2438</Words>
  <Characters>2512</Characters>
  <Lines>0</Lines>
  <Paragraphs>0</Paragraphs>
  <TotalTime>0</TotalTime>
  <ScaleCrop>false</ScaleCrop>
  <LinksUpToDate>false</LinksUpToDate>
  <CharactersWithSpaces>2581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2023-01-12T02:59:00Z</dcterms:created>
  <dc:creator>86182</dc:creator>
  <cp:lastModifiedBy>kilm </cp:lastModifiedBy>
  <cp:lastPrinted>2023-01-12T04:07:00Z</cp:lastPrinted>
  <dcterms:modified xsi:type="dcterms:W3CDTF">2025-02-10T10:11:49Z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F503D009310A48509E4C6EF5F0314ED5</vt:lpwstr>
  </property>
  <property fmtid="{D5CDD505-2E9C-101B-9397-08002B2CF9AE}" pid="4" name="KSOTemplateDocerSaveRecord">
    <vt:lpwstr>eyJoZGlkIjoiZjc5NmFkMmI5NWQwYzY1NjkyZmI2NjQzNmU4MTE1NWIiLCJ1c2VySWQiOiIzMTExMTUyNDkifQ==</vt:lpwstr>
  </property>
</Properties>
</file>