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jc w:val="center"/>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jc w:val="center"/>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jc w:val="center"/>
        <w:textAlignment w:val="auto"/>
        <w:rPr>
          <w:rFonts w:hint="eastAsia" w:ascii="黑体" w:eastAsia="黑体"/>
          <w:b/>
          <w:sz w:val="52"/>
          <w:szCs w:val="52"/>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jc w:val="center"/>
        <w:textAlignment w:val="auto"/>
        <w:rPr>
          <w:rFonts w:hint="eastAsia" w:ascii="黑体" w:eastAsia="黑体"/>
          <w:b/>
          <w:sz w:val="52"/>
          <w:szCs w:val="52"/>
          <w:lang w:eastAsia="zh-CN"/>
        </w:rPr>
      </w:pPr>
      <w:r>
        <w:rPr>
          <w:rFonts w:hint="eastAsia" w:ascii="黑体" w:eastAsia="黑体"/>
          <w:b/>
          <w:sz w:val="52"/>
          <w:szCs w:val="52"/>
          <w:lang w:eastAsia="zh-CN"/>
        </w:rPr>
        <w:t>中共工布江达县委员会办公室</w:t>
      </w: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jc w:val="center"/>
        <w:textAlignment w:val="auto"/>
        <w:rPr>
          <w:rFonts w:hint="eastAsia" w:ascii="黑体" w:eastAsia="黑体"/>
          <w:b/>
          <w:sz w:val="52"/>
          <w:szCs w:val="52"/>
        </w:rPr>
      </w:pPr>
      <w:r>
        <w:rPr>
          <w:rFonts w:hint="eastAsia" w:ascii="黑体" w:eastAsia="黑体"/>
          <w:b/>
          <w:sz w:val="52"/>
          <w:szCs w:val="52"/>
        </w:rPr>
        <w:t>202</w:t>
      </w:r>
      <w:r>
        <w:rPr>
          <w:rFonts w:hint="eastAsia" w:ascii="黑体" w:eastAsia="黑体"/>
          <w:b/>
          <w:sz w:val="52"/>
          <w:szCs w:val="52"/>
          <w:lang w:val="en-US" w:eastAsia="zh-CN"/>
        </w:rPr>
        <w:t>1</w:t>
      </w:r>
      <w:r>
        <w:rPr>
          <w:rFonts w:hint="eastAsia" w:ascii="黑体" w:eastAsia="黑体"/>
          <w:b/>
          <w:sz w:val="52"/>
          <w:szCs w:val="52"/>
        </w:rPr>
        <w:t>年度部门决算</w:t>
      </w: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jc w:val="center"/>
        <w:textAlignment w:val="auto"/>
        <w:rPr>
          <w:rFonts w:hint="eastAsia" w:ascii="宋体" w:hAnsi="宋体"/>
          <w:sz w:val="32"/>
          <w:szCs w:val="32"/>
          <w:u w:val="single"/>
        </w:rPr>
      </w:pP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lang w:val="en-US" w:eastAsia="zh-CN"/>
        </w:rPr>
        <w:t>2021</w:t>
      </w:r>
      <w:r>
        <w:rPr>
          <w:rFonts w:ascii="宋体" w:hAnsi="宋体"/>
          <w:sz w:val="32"/>
          <w:szCs w:val="32"/>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lang w:val="en-US" w:eastAsia="zh-CN"/>
        </w:rPr>
        <w:t>12</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u w:val="single"/>
          <w:lang w:val="en-US" w:eastAsia="zh-CN"/>
        </w:rPr>
        <w:t>31</w:t>
      </w:r>
      <w:r>
        <w:rPr>
          <w:rFonts w:hint="eastAsia" w:ascii="宋体" w:hAnsi="宋体"/>
          <w:sz w:val="32"/>
          <w:szCs w:val="32"/>
          <w:u w:val="single"/>
        </w:rPr>
        <w:t>日</w:t>
      </w: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textAlignment w:val="auto"/>
        <w:rPr>
          <w:rFonts w:hint="eastAsia"/>
          <w:sz w:val="44"/>
          <w:szCs w:val="44"/>
        </w:rPr>
      </w:pPr>
    </w:p>
    <w:p>
      <w:pPr>
        <w:keepNext w:val="0"/>
        <w:keepLines w:val="0"/>
        <w:pageBreakBefore w:val="0"/>
        <w:kinsoku/>
        <w:wordWrap/>
        <w:overflowPunct/>
        <w:topLinePunct w:val="0"/>
        <w:autoSpaceDE/>
        <w:autoSpaceDN/>
        <w:bidi w:val="0"/>
        <w:adjustRightInd/>
        <w:snapToGrid/>
        <w:spacing w:line="576" w:lineRule="exact"/>
        <w:ind w:left="0" w:leftChars="0" w:right="0" w:rightChars="0"/>
        <w:contextualSpacing/>
        <w:jc w:val="both"/>
        <w:textAlignment w:val="auto"/>
        <w:rPr>
          <w:rFonts w:ascii="宋体" w:hAnsi="宋体"/>
          <w:b/>
          <w:sz w:val="40"/>
          <w:szCs w:val="4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b/>
          <w:bCs/>
          <w:i w:val="0"/>
          <w:iCs w:val="0"/>
          <w:caps w:val="0"/>
          <w:color w:val="000000"/>
          <w:spacing w:val="0"/>
          <w:sz w:val="40"/>
          <w:szCs w:val="40"/>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fill="FFFFFF"/>
          <w:lang w:val="en-US" w:eastAsia="zh-CN"/>
        </w:rPr>
        <w:t xml:space="preserve">    </w:t>
      </w:r>
      <w:r>
        <w:rPr>
          <w:rFonts w:hint="eastAsia" w:ascii="黑体" w:hAnsi="黑体" w:eastAsia="黑体" w:cs="黑体"/>
          <w:b w:val="0"/>
          <w:bCs w:val="0"/>
          <w:i w:val="0"/>
          <w:iCs w:val="0"/>
          <w:caps w:val="0"/>
          <w:color w:val="000000"/>
          <w:spacing w:val="0"/>
          <w:sz w:val="32"/>
          <w:szCs w:val="32"/>
          <w:shd w:val="clear" w:fill="FFFFFF"/>
        </w:rPr>
        <w:t>第一部分</w:t>
      </w:r>
      <w:r>
        <w:rPr>
          <w:rFonts w:hint="eastAsia" w:ascii="黑体" w:hAnsi="黑体" w:eastAsia="黑体" w:cs="黑体"/>
          <w:b w:val="0"/>
          <w:bCs w:val="0"/>
          <w:i w:val="0"/>
          <w:iCs w:val="0"/>
          <w:caps w:val="0"/>
          <w:color w:val="000000"/>
          <w:spacing w:val="0"/>
          <w:sz w:val="32"/>
          <w:szCs w:val="32"/>
          <w:shd w:val="clear" w:fill="FFFFFF"/>
          <w:lang w:eastAsia="zh-CN"/>
        </w:rPr>
        <w:t>中共工布江达县委员会办公室</w:t>
      </w:r>
      <w:r>
        <w:rPr>
          <w:rFonts w:hint="eastAsia" w:ascii="黑体" w:hAnsi="黑体" w:eastAsia="黑体" w:cs="黑体"/>
          <w:b w:val="0"/>
          <w:bCs w:val="0"/>
          <w:i w:val="0"/>
          <w:iCs w:val="0"/>
          <w:caps w:val="0"/>
          <w:color w:val="000000"/>
          <w:spacing w:val="0"/>
          <w:sz w:val="32"/>
          <w:szCs w:val="32"/>
          <w:shd w:val="clear" w:fill="FFFFFF"/>
        </w:rPr>
        <w:t>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一、部门决算单位构成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二、部门职责和机构设置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jc w:val="both"/>
        <w:textAlignment w:val="auto"/>
        <w:outlineLvl w:val="9"/>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fill="FFFFFF"/>
        </w:rPr>
        <w:t>第二部分</w:t>
      </w:r>
      <w:r>
        <w:rPr>
          <w:rFonts w:hint="eastAsia" w:ascii="黑体" w:hAnsi="黑体" w:eastAsia="黑体" w:cs="黑体"/>
          <w:b w:val="0"/>
          <w:bCs w:val="0"/>
          <w:i w:val="0"/>
          <w:iCs w:val="0"/>
          <w:caps w:val="0"/>
          <w:color w:val="000000"/>
          <w:spacing w:val="0"/>
          <w:sz w:val="32"/>
          <w:szCs w:val="32"/>
          <w:shd w:val="clear" w:fill="FFFFFF"/>
          <w:lang w:eastAsia="zh-CN"/>
        </w:rPr>
        <w:t>中共工布江达县委员会办公室</w:t>
      </w:r>
      <w:r>
        <w:rPr>
          <w:rFonts w:hint="eastAsia" w:ascii="黑体" w:hAnsi="黑体" w:eastAsia="黑体" w:cs="黑体"/>
          <w:b w:val="0"/>
          <w:bCs w:val="0"/>
          <w:i w:val="0"/>
          <w:iCs w:val="0"/>
          <w:caps w:val="0"/>
          <w:color w:val="000000"/>
          <w:spacing w:val="0"/>
          <w:sz w:val="32"/>
          <w:szCs w:val="32"/>
          <w:shd w:val="clear" w:fill="FFFFFF"/>
        </w:rPr>
        <w:t>2021年度部门决算明细表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一、收入支出决算总表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二、收入决算总表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三、支出决算总表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四、财政拨款收支决算总表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五、一般公共预算财政拨款支出决算表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六、一般公共预算财政拨款基本支出决算表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七、一般公共预算财政拨款“三公”经费支出决算表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八、国有资本经营预算财政拨款收入支出决算表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九、政府性基金预算财政拨款项目支出决算表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lang w:val="en-US" w:eastAsia="zh-CN"/>
        </w:rPr>
        <w:t xml:space="preserve">    </w:t>
      </w:r>
      <w:r>
        <w:rPr>
          <w:rFonts w:hint="eastAsia" w:ascii="黑体" w:hAnsi="黑体" w:eastAsia="黑体" w:cs="黑体"/>
          <w:b w:val="0"/>
          <w:bCs w:val="0"/>
          <w:i w:val="0"/>
          <w:iCs w:val="0"/>
          <w:caps w:val="0"/>
          <w:color w:val="000000"/>
          <w:spacing w:val="0"/>
          <w:sz w:val="32"/>
          <w:szCs w:val="32"/>
          <w:shd w:val="clear" w:fill="FFFFFF"/>
        </w:rPr>
        <w:t>第三部分</w:t>
      </w:r>
      <w:r>
        <w:rPr>
          <w:rFonts w:hint="eastAsia" w:ascii="黑体" w:hAnsi="黑体" w:eastAsia="黑体" w:cs="黑体"/>
          <w:b w:val="0"/>
          <w:bCs w:val="0"/>
          <w:i w:val="0"/>
          <w:iCs w:val="0"/>
          <w:caps w:val="0"/>
          <w:color w:val="000000"/>
          <w:spacing w:val="0"/>
          <w:sz w:val="32"/>
          <w:szCs w:val="32"/>
          <w:shd w:val="clear" w:fill="FFFFFF"/>
          <w:lang w:eastAsia="zh-CN"/>
        </w:rPr>
        <w:t>中共工布江达县委员会办公室</w:t>
      </w:r>
      <w:r>
        <w:rPr>
          <w:rFonts w:hint="eastAsia" w:ascii="黑体" w:hAnsi="黑体" w:eastAsia="黑体" w:cs="黑体"/>
          <w:b w:val="0"/>
          <w:bCs w:val="0"/>
          <w:i w:val="0"/>
          <w:iCs w:val="0"/>
          <w:caps w:val="0"/>
          <w:color w:val="000000"/>
          <w:spacing w:val="0"/>
          <w:sz w:val="32"/>
          <w:szCs w:val="32"/>
          <w:shd w:val="clear" w:fill="FFFFFF"/>
        </w:rPr>
        <w:t>2021年度部门决算数据说明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一、收入支出总体情况说明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二、收入情况说明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四、一般公共预算财政拨款收入支出总体情况说明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五、一般公共预算财政拨款支出情况说明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六、一般公共预算财政拨款基本支出情况说明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七、一般公共预算财政拨款“三公”经费支出情况说明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八、国有资本经营预算财政拨款收入支出决算表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九、政府性基金预算财政拨款项目支出决算表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十、其他重要事项情况说明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十一、重点、重大项目信息情况说明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十二、举借债务情况说明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b/>
          <w:bCs/>
          <w:i w:val="0"/>
          <w:iCs w:val="0"/>
          <w:caps w:val="0"/>
          <w:color w:val="000000"/>
          <w:spacing w:val="0"/>
          <w:sz w:val="32"/>
          <w:szCs w:val="32"/>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 xml:space="preserve">    第四部分  名词解释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b/>
          <w:bCs/>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000000"/>
          <w:spacing w:val="0"/>
          <w:kern w:val="0"/>
          <w:sz w:val="44"/>
          <w:szCs w:val="44"/>
          <w:shd w:val="clear" w:fill="FFFFFF"/>
          <w:lang w:val="en-US" w:eastAsia="zh-CN" w:bidi="ar"/>
        </w:rPr>
        <w:t>第一部分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b/>
          <w:bCs/>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b/>
          <w:bCs/>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000000"/>
          <w:spacing w:val="0"/>
          <w:kern w:val="0"/>
          <w:sz w:val="44"/>
          <w:szCs w:val="44"/>
          <w:shd w:val="clear" w:fill="FFFFFF"/>
          <w:lang w:val="en-US" w:eastAsia="zh-CN" w:bidi="ar"/>
        </w:rPr>
        <w:t>中共工布江达县委员会办公室概况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b/>
          <w:bCs/>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3"/>
        <w:jc w:val="both"/>
        <w:textAlignment w:val="auto"/>
        <w:outlineLvl w:val="9"/>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一、部门决算单位构成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中共工布江达县委员会办公室办公室作为一个单位纳入2021年部门决算编制范围。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3"/>
        <w:jc w:val="both"/>
        <w:textAlignment w:val="auto"/>
        <w:outlineLvl w:val="9"/>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二、部门职责和机构设置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一、部门预算单位构成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中共工布江达县委员会办公室（以下简称县委办公室）是县委的综合部门，为正科级，负责推动县委决策部署的落实，按照县委要求协调有关方面开展工作，承担县委运行保障具体事宜，加挂县委保密委员会办公室、县国家保密局、县档案局牌子。县委全面深化改革委员会办公室设在县委办公室，接受县委全面深化改革委员会的直接领导，承担县委全面深化改革委员会具体工作，研究提出全县深化改革中坚持党的领导、加强党的建设的政策建议，组织研究县深化改革工作规划、重大政策和改革方案，协调推进和督促落实县委、县委全面深化改革委员会决策部署和要求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二、部门职责及机构设置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（一）主要职责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1、负责起草或组织起草以县委或县委办公室名义向市委办公室报送的综合性材料；负责起草或组织起草以县委或县委办公室名义印发规。范性文件；负责县委和县委领导同志的文稿服务工作；保证县委日常工作正常运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2、负责党中央、区党委、市委和县委重大方针政策、重要工作部署、重要会议、文件精神贯彻落实情况的督促检查；负责县委领导同志指示、批示的督办、统筹协调党委系统人大代表建议、政协提案办复工作。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3、负责围绕县委重要决策和工作部署，开展调查研究、信息综合，为县委决策提供依据和服务；负责向区党委、市委及县委报送信息工作。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4、负责向县委领导同志报告重要情况，协助处理重要问题，承办县委文电、机要档案等工作；负责县委与市委、政府、市直有关部门及县直有关部门、各乡（镇）党委的协调联络工作；协调县人大、政府、政协办公室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5、负责县委常委会会议等各类重要会议的会议工作；负责协调安排县委领导的各类重要公务活动。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6、负责全县保密工作规划、宣传教育、监督管理和失泄密案件查处工作；负责涉密通信、计算机信息系统的技术防范和审批管理工作。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7、负责落实县委及班子成员的主体责任工作。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8、负责全县档案工作的统筹规划、宏观管理，对全县档案工作进行监督检查和业务指导；负责县直机关、群团机关、企事业单位档案的接收、整理、保管、利用工作。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9、负责管理党史，组织地方志资料征集、编研工作。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10、管理县委机要局（县密码管理局）、县档案馆。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11、完成县委及上级相关部门交办的其他任务。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（二）机构设置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县委办公室为行政编制。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第二部分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中共江达县委员会办公室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2021年度部门决算明细表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（详见附表）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第三部分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rPr>
        <w:t>中共工布江达县委员会</w:t>
      </w: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2021年度部门决算数据说明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542"/>
        <w:jc w:val="both"/>
        <w:textAlignment w:val="auto"/>
        <w:outlineLvl w:val="9"/>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 xml:space="preserve"> 一、2021年度收入支出总体情况说明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共工布江达县委员会办公室2021年度收入总计8460166.95元（其中年初结转和结余1828821.96元），比2020年增加1272625.31元，同比增加17.7%，增加主要因为2021年年初有结转和结余资金，2020年无年初有结转和结余资金。支出合计8334646.3元，年末结转和结余125520.65元。支出合计比2020年增加2975956.62元，增长55.53%，增加原因主要为当年人员增加导致人员经费及公用经费支出增加，项目增加导致项目支出增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542"/>
        <w:jc w:val="both"/>
        <w:textAlignment w:val="auto"/>
        <w:outlineLvl w:val="9"/>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二、2021年度收入情况说明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共工布江达县委员会办公室2021年度收入总计8460166.95元，其中：一般公共预算财政拨款收入6631344.99元，占2021年度总收入的78.38%，比2020年减少196541.4元，同比降低2.88%，同比降低主要原因为2020年年末结转和结余1828821.96元；年初结转和结余1828821.96元，占2021年度总收入的21.62%，比2020年年初结转和结余多1828821.96元，同比增长100%，增长主要原因为2020年无年初结转和结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542"/>
        <w:jc w:val="both"/>
        <w:textAlignment w:val="auto"/>
        <w:outlineLvl w:val="9"/>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 xml:space="preserve"> 三、2021年度支出情况说明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共工布江达县委员会办公室2021年度支出合计8334646.3元，比上一年增加2975956.62元，增长55.53%；增加原因主要为当年人员增加导致人员经费及公用经费支出增加，项目增加导致项目支出增加。其中：基本支出5920955.06元（人员经费支出5568179.88元，公用经费支出352775.18元），占总支出的71.04%；项目支出2413691.24元，占总支出的28.96%。按支出经济分，其中：工资福利支出5352179.88元，占总支出的64.21%；商品和服务支出1942106.42元，占总支出的23.3%；对个人和家庭的补助支出275415元，占总支出的3.3%。资本性出764945元，占总支出的9.17%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542"/>
        <w:jc w:val="both"/>
        <w:textAlignment w:val="auto"/>
        <w:outlineLvl w:val="9"/>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 xml:space="preserve"> 四、2021年度一般公共预算财政拨款收入支出总体情况说明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一般公共预算财政拨款收入6631344.99元，占2021年度总收入的78.38%，比2020年减少196541.4元，同比降低2.88%，同比降低主要原因为2020年年末结转和结余1828821.96元；一般公共预算财政拨款支出合计8334646.3元，比上一年</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增加2975956.62元，增长55.53%；增加原因主要为当年人员、项目增加导致人员经费、公用经费支及项目支出增加。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542"/>
        <w:jc w:val="both"/>
        <w:textAlignment w:val="auto"/>
        <w:outlineLvl w:val="9"/>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五、2021年度一般公共预算财政拨款支出情况说明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中共工布江达县委员会办公室2021年度一般公共预算财政拨款支出8334646.3</w:t>
      </w:r>
      <w:r>
        <w:rPr>
          <w:rFonts w:hint="eastAsia" w:ascii="仿宋_GB2312" w:hAnsi="仿宋_GB2312" w:eastAsia="仿宋_GB2312" w:cs="仿宋_GB2312"/>
          <w:i w:val="0"/>
          <w:iCs w:val="0"/>
          <w:caps w:val="0"/>
          <w:color w:val="000000"/>
          <w:spacing w:val="-20"/>
          <w:kern w:val="0"/>
          <w:sz w:val="32"/>
          <w:szCs w:val="32"/>
          <w:shd w:val="clear" w:fill="FFFFFF"/>
          <w:lang w:val="en-US" w:eastAsia="zh-CN" w:bidi="ar"/>
        </w:rPr>
        <w:t>元</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，主要用于以下方面:一般公共服务支出、社会保障和就业支出、卫生健康支出、城乡社区支出、住房保障支出。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（一）一般公共服务支出（类）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支出6040281.3元，占一般公共预算财政拨款支出的72.47%，比2021年年初预算数7006921.96元减少966640.66元，减少主要原因为相关经费支出减少。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 xml:space="preserve">   （二）社会保障和就业支出（类）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支出541100元，占一般公共预算财政拨款支出的6.49%，比2021年年初预算数499000元增加42100元，增加主要原因为社保基数调整。 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2"/>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（三）卫生健康支出（类）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支出420000元，占一般公共预算财政拨款支出的5.04%，比2021年年初预算数359900元增加60100元，增加主要原因是人员的增加。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 xml:space="preserve">   （四）住房保障支出（类）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支出631740元，占一般公共预算财政拨款支出的7.58%，比2021年年初预算数403700元增加228040元，主要原因为住房公积金基数调整。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 xml:space="preserve">   （五）城乡社区支出（类）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支出701525元，占一般公共预算财政拨款支出的8.42%，比2021年年初预算数702100元减少575元，主要原因为城乡社区经费减少。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六、2021年度一般公共预算财政拨款基本支出情况说明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FF0000"/>
          <w:spacing w:val="0"/>
          <w:kern w:val="0"/>
          <w:sz w:val="32"/>
          <w:szCs w:val="32"/>
          <w:shd w:val="clear" w:fill="FFFFFF"/>
          <w:lang w:val="en-US" w:eastAsia="zh-CN" w:bidi="ar"/>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中共工布江达县委员会办公室2021年度一般公共预算财政拨款基本支出5920955.06元，主要用于党委办公厅（室）及相关机构事务、财政对基本养老保险基金的补助、财政对其他社会保险基金的补助、行政事业单位医疗、财政对基本医疗保险基金的补助、住房改革支出方面，比2020年增加1730514.16元，同比增长37.25%，主要原因为当年人员增加，导致人员经费和公用经费支出增加。</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党委办公厅（室）及相关机构事务（款）</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支出4328115.06元，占一般公共预算财政拨款基本支出的73.1%，比2020年支出增加938659.87元，同比增长27.69%，主要原因为人员和项目增加、导致经费支出增加。</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财政对基本养老保险基金的补助（款）</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支出530000元，占一般公共预算财政拨</w:t>
      </w:r>
      <w:bookmarkStart w:id="0" w:name="_GoBack"/>
      <w:bookmarkEnd w:id="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款基本支出的8.95%，比2020年支出增加938659.87元，同比增长27.69%，主要原因为人员增加导致公用经费支出增加。</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财政对其他社会保险基金的补助（款）</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支出11100元，占一般公共预算财政拨款基本支出的0.19%，比2020年支出减少7490.13元，同比降低40.29%，主要原因为当年预算未做够，部分人员其他社会保险未交，次年进行申报缴费。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行政事业单位医疗（款）</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支出120000元，占一般公共预算财政拨款基本支出的2.03%，比2020年支出增加52282.52元，同比增长77.21，主要原因为2020年度部分人员公务员医疗补助未及时进行申报缴纳，均由本年度进行申报缴纳，导致同比支出增长幅度较大。</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财政对基本医疗保险基金的补助（款）</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支出300000</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元，占一般公共预算财政拨款基本支出的5.07%，比2020年支出减少107000.08元，同比降低26.29%，主要原因为当年预算未做够，部分人员其他社会保险未交，次年进行申报缴费。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住房改革支出（款）</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支出631740元，占一般公共预算财政拨款基本支出的10.66%，比2020年支出增加31810元，同比增长5.13%，主要原因为人员增加、公积金基数调基导致同比支出增加。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542"/>
        <w:jc w:val="both"/>
        <w:textAlignment w:val="auto"/>
        <w:outlineLvl w:val="9"/>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七、2021年度一般公共预算财政拨款“三公”经费支出情况说明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542"/>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中共工布江达县委员会办公室2021年度“三公”经费决算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254413.95元，比2020年增加227767.95元，同比增加超过100%。主要原因为当年下乡次数增加，公车维护费及油料费支出增加。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1、因公出国（境）费为0元；中共工布江达县委员会办公室2021年度无因公出国（境）情况。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2、公务接待费0元；中共工布江达县委员会办公室2021年度无公务接待情况。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3、公务用车购置费0元，中共工布江达县委员会办公室2021年度未购置公车。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公务用车运行费254413.95元，占“三公”经费的100%，比2020年增加227767.95元，同比增加超过100%。主要原因为当年下乡次数增加，公车维护费及油料费支出增加。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八、国有资本经营预算财政拨款收入支出情况说明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中共工布江达县委员会办公室</w:t>
      </w:r>
      <w:r>
        <w:rPr>
          <w:rFonts w:hint="eastAsia" w:ascii="仿宋_GB2312" w:hAnsi="仿宋_GB2312" w:eastAsia="仿宋_GB2312" w:cs="仿宋_GB2312"/>
          <w:i w:val="0"/>
          <w:iCs w:val="0"/>
          <w:caps w:val="0"/>
          <w:color w:val="000000"/>
          <w:spacing w:val="0"/>
          <w:sz w:val="32"/>
          <w:szCs w:val="32"/>
          <w:shd w:val="clear" w:fill="FFFFFF"/>
        </w:rPr>
        <w:t>无国有资本经营预算财政拨款收入支出。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542"/>
        <w:jc w:val="both"/>
        <w:textAlignment w:val="auto"/>
        <w:outlineLvl w:val="9"/>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 xml:space="preserve"> 九、政府性基金预算财政拨款项目支出情况说明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lang w:eastAsia="zh-CN"/>
        </w:rPr>
        <w:t>中共工布江达县委员会办公室</w:t>
      </w:r>
      <w:r>
        <w:rPr>
          <w:rFonts w:hint="eastAsia" w:ascii="仿宋_GB2312" w:hAnsi="仿宋_GB2312" w:eastAsia="仿宋_GB2312" w:cs="仿宋_GB2312"/>
          <w:i w:val="0"/>
          <w:iCs w:val="0"/>
          <w:caps w:val="0"/>
          <w:color w:val="000000"/>
          <w:spacing w:val="0"/>
          <w:sz w:val="32"/>
          <w:szCs w:val="32"/>
          <w:shd w:val="clear" w:fill="FFFFFF"/>
        </w:rPr>
        <w:t>无政府性基金预算财政拨款项目支出。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jc w:val="both"/>
        <w:textAlignment w:val="auto"/>
        <w:outlineLvl w:val="9"/>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 xml:space="preserve">    十、其他重要事项情况说明</w:t>
      </w:r>
    </w:p>
    <w:p>
      <w:pPr>
        <w:keepNext w:val="0"/>
        <w:keepLines w:val="0"/>
        <w:pageBreakBefore w:val="0"/>
        <w:tabs>
          <w:tab w:val="left" w:pos="666"/>
        </w:tabs>
        <w:kinsoku/>
        <w:wordWrap/>
        <w:overflowPunct/>
        <w:topLinePunct w:val="0"/>
        <w:autoSpaceDE/>
        <w:autoSpaceDN/>
        <w:bidi w:val="0"/>
        <w:adjustRightInd/>
        <w:snapToGrid/>
        <w:spacing w:line="576" w:lineRule="exact"/>
        <w:ind w:left="0" w:leftChars="0" w:right="0" w:rightChars="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 xml:space="preserve">    （一）机关运行经费支出情况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。中共工布江达县委员会办公室2021年度机关运行经费支出352775.18元，比2020年增加127674.44元，同比增长56.71 %，主要原因为人员增加导致机关运行费支出增加。</w:t>
      </w:r>
    </w:p>
    <w:p>
      <w:pPr>
        <w:keepNext w:val="0"/>
        <w:keepLines w:val="0"/>
        <w:pageBreakBefore w:val="0"/>
        <w:tabs>
          <w:tab w:val="left" w:pos="666"/>
        </w:tabs>
        <w:kinsoku/>
        <w:wordWrap/>
        <w:overflowPunct/>
        <w:topLinePunct w:val="0"/>
        <w:autoSpaceDE/>
        <w:autoSpaceDN/>
        <w:bidi w:val="0"/>
        <w:adjustRightInd/>
        <w:snapToGrid/>
        <w:spacing w:line="576" w:lineRule="exact"/>
        <w:ind w:left="0" w:leftChars="0" w:right="0" w:rightChars="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（二）会议费支出情况。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中共工布江达县委员会办公室2021年度会议费26000元，比2020年增加26000元，同比增长100 %，主要原因为2020年会议相关的印刷费、材料费等未及时支出。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（三）培训费支出情况。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中共工布江达县委员会办公室2021年度培训费支出9391元，比2020年增加9391元，同比增长100 %，主要原因为2020年无培训相关的经费支出。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（四）国有资产占有使用情况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截止2021年年底，中共工布江达县委员会办公室共有车辆1辆，其中一般公务用车1辆。固定资产总额4018469元。其中：房屋类固定资产3417700.00元，占资产总额的85.05%；车辆类固定资产600769元，占资产总额14.95%；其他固定资产0元，占资产总额的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（五）政府采购情况。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中共工布江达县委员会办公室2021年度无政府采购。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（六）预算绩效情况。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2021年度本单位无绩效评价项目共23个，编制绩效目标23个，涉及金额2960500元。主要用于机要保密会议室装修及设备购置费、车辆运行维护费、年鉴编撰经费等支出。我单位通过绩效评价衡量和考核预算部门整体支出的绩效，了解、分析、检验部门资金使用是否达到预期目标，资金管理是否规范，资金使用是否有效，通过总结经验，分析问题，采取切实措施促进预算绩效管理工 作制度化、规范化、科学化，加快全过程预算绩效管理体系的建设，提升预算绩效管理水平和能力，进一步提高资源配置效率和使用效益，促进政府职能部门履职能力的提升。</w:t>
      </w:r>
      <w:r>
        <w:rPr>
          <w:rFonts w:hint="eastAsia" w:ascii="仿宋_GB2312" w:hAnsi="仿宋_GB2312" w:eastAsia="仿宋_GB2312" w:cs="仿宋_GB2312"/>
          <w:i w:val="0"/>
          <w:iCs w:val="0"/>
          <w:caps w:val="0"/>
          <w:color w:val="000000"/>
          <w:spacing w:val="0"/>
          <w:sz w:val="32"/>
          <w:szCs w:val="32"/>
          <w:shd w:val="clear" w:fill="FFFFFF"/>
        </w:rPr>
        <w:t>根据预算资金使用情况，我们从部门决策、部门过程、部门产出、 部门效益方面进行综合评价，工布江达县党委办部门整体支出各部分绩效评价得分如下：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部门决策指标分值13.00 分，评价得分6.00 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部门过程指标分值22.00 分，评价得分18.57分；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部门产出指标分值32.00 分，评价得分 32.00 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部门效益指标分值33.00 分，评价得分 25.72分；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最终综合评价得分为82.29分，评价等级为中。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542"/>
        <w:jc w:val="both"/>
        <w:textAlignment w:val="auto"/>
        <w:outlineLvl w:val="9"/>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十一、重点、重大项目信息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2021年中共工布江达县委员会办公室无重大项目。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542"/>
        <w:jc w:val="both"/>
        <w:textAlignment w:val="auto"/>
        <w:outlineLvl w:val="9"/>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十二、举借债务情况说明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2021年工布江达县</w:t>
      </w:r>
      <w:r>
        <w:rPr>
          <w:rFonts w:hint="eastAsia" w:ascii="仿宋_GB2312" w:hAnsi="仿宋_GB2312" w:eastAsia="仿宋_GB2312" w:cs="仿宋_GB2312"/>
          <w:i w:val="0"/>
          <w:iCs w:val="0"/>
          <w:caps w:val="0"/>
          <w:color w:val="000000"/>
          <w:spacing w:val="0"/>
          <w:sz w:val="32"/>
          <w:szCs w:val="32"/>
          <w:shd w:val="clear" w:fill="FFFFFF"/>
          <w:lang w:eastAsia="zh-CN"/>
        </w:rPr>
        <w:t>中共工布江达县委员会办公室</w:t>
      </w:r>
      <w:r>
        <w:rPr>
          <w:rFonts w:hint="eastAsia" w:ascii="仿宋_GB2312" w:hAnsi="仿宋_GB2312" w:eastAsia="仿宋_GB2312" w:cs="仿宋_GB2312"/>
          <w:i w:val="0"/>
          <w:iCs w:val="0"/>
          <w:caps w:val="0"/>
          <w:color w:val="000000"/>
          <w:spacing w:val="0"/>
          <w:sz w:val="32"/>
          <w:szCs w:val="32"/>
          <w:shd w:val="clear" w:fill="FFFFFF"/>
        </w:rPr>
        <w:t>无举借债务情况。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第四部分 名词解释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30"/>
        <w:jc w:val="both"/>
        <w:textAlignment w:val="auto"/>
        <w:outlineLvl w:val="9"/>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3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一、一般公共预算拨款收入，</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指财政当年拨付的资金。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3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二、一般行政管理事务，</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指用于保障完成日常工作任务而发生的基本支出。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3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三、行政运行，</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指用于保障完成日常工作任务而发生的基本支出。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3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四、专项业务，</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指用于专项事务相关的支出。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3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五、其他党委办公厅（室）及相关机构事务支出，</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指用于其他党办事务方面的支出。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3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六、住房保障支出（类）住房改革支出（款），</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指按照国家政策规定用于住房改革方面的支出。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3"/>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七、基本支出，</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指为保障机构正常运转，完成日常工作任务而发生的人员支出和公用支出。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3"/>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八、项目支出，</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指在基本支出之外为完成特定行政任务和事业发展目标所发生的支出。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43"/>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九、“三公”经费，</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指纳入中央财政预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rightChars="0" w:firstLine="63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十、机关运行经费，</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9825219">
    <w:nsid w:val="671B09C3"/>
    <w:multiLevelType w:val="singleLevel"/>
    <w:tmpl w:val="671B09C3"/>
    <w:lvl w:ilvl="0" w:tentative="1">
      <w:start w:val="1"/>
      <w:numFmt w:val="chineseCounting"/>
      <w:suff w:val="nothing"/>
      <w:lvlText w:val="（%1）"/>
      <w:lvlJc w:val="left"/>
    </w:lvl>
  </w:abstractNum>
  <w:num w:numId="1">
    <w:abstractNumId w:val="17298252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NzZiYTBiYzZkZWVmMDVkZWMzMzgxNTExOGY1ZWUifQ=="/>
  </w:docVars>
  <w:rsids>
    <w:rsidRoot w:val="00000000"/>
    <w:rsid w:val="048F0139"/>
    <w:rsid w:val="085C50E5"/>
    <w:rsid w:val="099F3D57"/>
    <w:rsid w:val="09B5177D"/>
    <w:rsid w:val="0AFF049B"/>
    <w:rsid w:val="10116269"/>
    <w:rsid w:val="16B847EF"/>
    <w:rsid w:val="1E761E86"/>
    <w:rsid w:val="34211293"/>
    <w:rsid w:val="48BC340D"/>
    <w:rsid w:val="50125C88"/>
    <w:rsid w:val="54B46905"/>
    <w:rsid w:val="63E73E74"/>
    <w:rsid w:val="65115EE0"/>
    <w:rsid w:val="66975881"/>
    <w:rsid w:val="697F6A24"/>
    <w:rsid w:val="709D48D3"/>
    <w:rsid w:val="76581835"/>
    <w:rsid w:val="7CA77E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2024-10-30T06:01:34Z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5DF7D9EFAC9B43B687C9CD78E31C699E_12</vt:lpwstr>
  </property>
</Properties>
</file>