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outlineLvl w:val="9"/>
        <w:rPr>
          <w:rFonts w:ascii="宋体" w:hAnsi="宋体"/>
          <w:b/>
          <w:sz w:val="48"/>
          <w:szCs w:val="4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both"/>
        <w:textAlignment w:val="auto"/>
        <w:outlineLvl w:val="9"/>
        <w:rPr>
          <w:rFonts w:hint="eastAsia" w:ascii="方正小标宋简体" w:hAnsi="方正小标宋简体" w:eastAsia="方正小标宋简体" w:cs="方正小标宋简体"/>
          <w:b/>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p>
    <w:p>
      <w:pPr>
        <w:keepNext w:val="0"/>
        <w:keepLines w:val="0"/>
        <w:pageBreakBefore w:val="0"/>
        <w:widowControl w:val="0"/>
        <w:kinsoku/>
        <w:wordWrap/>
        <w:overflowPunct/>
        <w:topLinePunct w:val="0"/>
        <w:autoSpaceDE/>
        <w:autoSpaceDN/>
        <w:bidi w:val="0"/>
        <w:adjustRightInd/>
        <w:snapToGrid/>
        <w:spacing w:line="14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
          <w:sz w:val="44"/>
          <w:szCs w:val="44"/>
        </w:rPr>
        <w:t>工布江达县公安局2022年度</w:t>
      </w:r>
    </w:p>
    <w:p>
      <w:pPr>
        <w:keepNext w:val="0"/>
        <w:keepLines w:val="0"/>
        <w:pageBreakBefore w:val="0"/>
        <w:widowControl w:val="0"/>
        <w:kinsoku/>
        <w:wordWrap/>
        <w:overflowPunct/>
        <w:topLinePunct w:val="0"/>
        <w:autoSpaceDE/>
        <w:autoSpaceDN/>
        <w:bidi w:val="0"/>
        <w:adjustRightInd/>
        <w:snapToGrid/>
        <w:spacing w:line="14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52"/>
          <w:szCs w:val="52"/>
        </w:rPr>
      </w:pPr>
      <w:r>
        <w:rPr>
          <w:rFonts w:hint="eastAsia" w:ascii="方正小标宋简体" w:hAnsi="方正小标宋简体" w:eastAsia="方正小标宋简体" w:cs="方正小标宋简体"/>
          <w:b/>
          <w:sz w:val="52"/>
          <w:szCs w:val="52"/>
        </w:rPr>
        <w:t>部</w:t>
      </w:r>
    </w:p>
    <w:p>
      <w:pPr>
        <w:keepNext w:val="0"/>
        <w:keepLines w:val="0"/>
        <w:pageBreakBefore w:val="0"/>
        <w:widowControl w:val="0"/>
        <w:kinsoku/>
        <w:wordWrap/>
        <w:overflowPunct/>
        <w:topLinePunct w:val="0"/>
        <w:autoSpaceDE/>
        <w:autoSpaceDN/>
        <w:bidi w:val="0"/>
        <w:adjustRightInd/>
        <w:snapToGrid/>
        <w:spacing w:line="14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52"/>
          <w:szCs w:val="52"/>
        </w:rPr>
      </w:pPr>
      <w:r>
        <w:rPr>
          <w:rFonts w:hint="eastAsia" w:ascii="方正小标宋简体" w:hAnsi="方正小标宋简体" w:eastAsia="方正小标宋简体" w:cs="方正小标宋简体"/>
          <w:b/>
          <w:sz w:val="52"/>
          <w:szCs w:val="52"/>
        </w:rPr>
        <w:t>门</w:t>
      </w:r>
    </w:p>
    <w:p>
      <w:pPr>
        <w:keepNext w:val="0"/>
        <w:keepLines w:val="0"/>
        <w:pageBreakBefore w:val="0"/>
        <w:widowControl w:val="0"/>
        <w:kinsoku/>
        <w:wordWrap/>
        <w:overflowPunct/>
        <w:topLinePunct w:val="0"/>
        <w:autoSpaceDE/>
        <w:autoSpaceDN/>
        <w:bidi w:val="0"/>
        <w:adjustRightInd/>
        <w:snapToGrid/>
        <w:spacing w:line="14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sz w:val="52"/>
          <w:szCs w:val="52"/>
        </w:rPr>
      </w:pPr>
      <w:r>
        <w:rPr>
          <w:rFonts w:hint="eastAsia" w:ascii="方正小标宋简体" w:hAnsi="方正小标宋简体" w:eastAsia="方正小标宋简体" w:cs="方正小标宋简体"/>
          <w:b/>
          <w:sz w:val="52"/>
          <w:szCs w:val="52"/>
        </w:rPr>
        <w:t>预</w:t>
      </w:r>
    </w:p>
    <w:p>
      <w:pPr>
        <w:keepNext w:val="0"/>
        <w:keepLines w:val="0"/>
        <w:pageBreakBefore w:val="0"/>
        <w:widowControl w:val="0"/>
        <w:kinsoku/>
        <w:wordWrap/>
        <w:overflowPunct/>
        <w:topLinePunct w:val="0"/>
        <w:autoSpaceDE/>
        <w:autoSpaceDN/>
        <w:bidi w:val="0"/>
        <w:adjustRightInd/>
        <w:snapToGrid/>
        <w:spacing w:line="1400" w:lineRule="exact"/>
        <w:ind w:left="0" w:leftChars="0" w:right="0" w:rightChars="0" w:firstLine="0" w:firstLineChars="0"/>
        <w:jc w:val="center"/>
        <w:textAlignment w:val="auto"/>
        <w:outlineLvl w:val="9"/>
        <w:rPr>
          <w:rFonts w:ascii="宋体" w:hAnsi="宋体"/>
          <w:sz w:val="28"/>
          <w:szCs w:val="28"/>
        </w:rPr>
      </w:pPr>
      <w:r>
        <w:rPr>
          <w:rFonts w:hint="eastAsia" w:ascii="方正小标宋简体" w:hAnsi="方正小标宋简体" w:eastAsia="方正小标宋简体" w:cs="方正小标宋简体"/>
          <w:b/>
          <w:sz w:val="52"/>
          <w:szCs w:val="52"/>
        </w:rPr>
        <w:t>算</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textAlignment w:val="auto"/>
        <w:outlineLvl w:val="9"/>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textAlignment w:val="auto"/>
        <w:outlineLvl w:val="9"/>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textAlignment w:val="auto"/>
        <w:outlineLvl w:val="9"/>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outlineLvl w:val="9"/>
        <w:rPr>
          <w:rFonts w:hint="eastAsia" w:ascii="仿宋_GB2312" w:hAnsi="仿宋_GB2312" w:eastAsia="仿宋_GB2312" w:cs="仿宋_GB2312"/>
          <w:sz w:val="32"/>
          <w:szCs w:val="32"/>
          <w:u w:val="none"/>
        </w:rPr>
      </w:pPr>
      <w:r>
        <w:rPr>
          <w:rFonts w:ascii="宋体" w:hAnsi="宋体"/>
          <w:sz w:val="32"/>
          <w:szCs w:val="32"/>
          <w:u w:val="none"/>
        </w:rPr>
        <w:t xml:space="preserve"> </w:t>
      </w:r>
      <w:r>
        <w:rPr>
          <w:rFonts w:hint="eastAsia" w:ascii="宋体" w:hAnsi="宋体"/>
          <w:sz w:val="32"/>
          <w:szCs w:val="32"/>
          <w:u w:val="none"/>
        </w:rPr>
        <w:t>2</w:t>
      </w:r>
      <w:r>
        <w:rPr>
          <w:rFonts w:hint="eastAsia" w:ascii="仿宋_GB2312" w:hAnsi="仿宋_GB2312" w:eastAsia="仿宋_GB2312" w:cs="仿宋_GB2312"/>
          <w:sz w:val="32"/>
          <w:szCs w:val="32"/>
          <w:u w:val="none"/>
        </w:rPr>
        <w:t>022</w:t>
      </w:r>
      <w:r>
        <w:rPr>
          <w:rFonts w:hint="eastAsia" w:ascii="仿宋_GB2312" w:hAnsi="仿宋_GB2312" w:eastAsia="仿宋_GB2312" w:cs="仿宋_GB2312"/>
          <w:sz w:val="32"/>
          <w:szCs w:val="32"/>
          <w:u w:val="none"/>
          <w:lang w:eastAsia="zh-CN"/>
        </w:rPr>
        <w:t>年</w:t>
      </w:r>
      <w:r>
        <w:rPr>
          <w:rFonts w:hint="eastAsia" w:ascii="仿宋_GB2312" w:hAnsi="仿宋_GB2312" w:eastAsia="仿宋_GB2312" w:cs="仿宋_GB2312"/>
          <w:sz w:val="32"/>
          <w:szCs w:val="32"/>
          <w:u w:val="none"/>
          <w:lang w:val="en-US" w:eastAsia="zh-CN"/>
        </w:rPr>
        <w:t>1</w:t>
      </w:r>
      <w:r>
        <w:rPr>
          <w:rFonts w:hint="eastAsia" w:ascii="仿宋_GB2312" w:hAnsi="仿宋_GB2312" w:eastAsia="仿宋_GB2312" w:cs="仿宋_GB2312"/>
          <w:sz w:val="32"/>
          <w:szCs w:val="32"/>
          <w:u w:val="none"/>
        </w:rPr>
        <w:t>月</w:t>
      </w:r>
      <w:r>
        <w:rPr>
          <w:rFonts w:hint="eastAsia" w:ascii="仿宋_GB2312" w:hAnsi="仿宋_GB2312" w:eastAsia="仿宋_GB2312" w:cs="仿宋_GB2312"/>
          <w:sz w:val="32"/>
          <w:szCs w:val="32"/>
          <w:u w:val="none"/>
          <w:lang w:val="en-US" w:eastAsia="zh-CN"/>
        </w:rPr>
        <w:t>12</w:t>
      </w:r>
      <w:r>
        <w:rPr>
          <w:rFonts w:hint="eastAsia" w:ascii="仿宋_GB2312" w:hAnsi="仿宋_GB2312" w:eastAsia="仿宋_GB2312" w:cs="仿宋_GB2312"/>
          <w:sz w:val="32"/>
          <w:szCs w:val="32"/>
          <w:u w:val="none"/>
        </w:rPr>
        <w:t>日</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工布江达县公安局</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ascii="宋体" w:hAnsi="宋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ascii="黑体" w:hAnsi="黑体" w:eastAsia="黑体" w:cs="黑体"/>
          <w:b w:val="0"/>
          <w:bCs/>
          <w:sz w:val="44"/>
          <w:szCs w:val="44"/>
        </w:rPr>
      </w:pPr>
      <w:r>
        <w:rPr>
          <w:rFonts w:hint="eastAsia" w:ascii="黑体" w:hAnsi="黑体" w:eastAsia="黑体" w:cs="黑体"/>
          <w:b w:val="0"/>
          <w:bCs/>
          <w:sz w:val="44"/>
          <w:szCs w:val="44"/>
        </w:rPr>
        <w:t>目  录</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ascii="宋体" w:hAnsi="宋体"/>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第一部分  公安局概况</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一、部门预算单位构成</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二、部门职责和机构设置</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第二部分  公安局2022年度部门预算明细表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一、财政拨款收支总表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二、一般公共预算支出表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三、一般公共预算基本支出表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四、一般公共预算“三公”经费支出表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五、政府性基金预算支出表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六、部门收支总表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七、部门收入总表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2240" w:firstLineChars="7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八、部门支出总表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第三部分  公安局2022年度部门预算数据分析</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第四部分  名词解释</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黑体" w:hAnsi="黑体" w:eastAsia="黑体" w:cs="黑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ascii="宋体" w:hAnsi="宋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ascii="宋体" w:hAnsi="宋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ascii="宋体" w:hAnsi="宋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ascii="宋体" w:hAnsi="宋体"/>
          <w:b w:val="0"/>
          <w:bCs/>
          <w:sz w:val="28"/>
          <w:szCs w:val="28"/>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both"/>
        <w:textAlignment w:val="auto"/>
        <w:outlineLvl w:val="9"/>
        <w:rPr>
          <w:rFonts w:ascii="宋体" w:hAnsi="宋体"/>
          <w:b w:val="0"/>
          <w:bCs/>
          <w:sz w:val="28"/>
          <w:szCs w:val="28"/>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44"/>
          <w:szCs w:val="44"/>
        </w:rPr>
        <w:t xml:space="preserve">第一部分 </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工布江达县公安局概况</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27" w:firstLineChars="196"/>
        <w:textAlignment w:val="auto"/>
        <w:outlineLvl w:val="9"/>
        <w:rPr>
          <w:rFonts w:ascii="黑体" w:hAnsi="黑体" w:eastAsia="黑体" w:cs="黑体"/>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27" w:firstLineChars="196"/>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一、部门预算单位构成</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560" w:firstLineChars="200"/>
        <w:textAlignment w:val="auto"/>
        <w:outlineLvl w:val="9"/>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工布江达县公安局作为一个单位纳入2022年部门预算编制范围。</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27" w:firstLineChars="196"/>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二、部门职责和机构设置</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（一）部门职责</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指导和监督国家机关、社会团体、企事业组织和重点建设工程的治安保卫工作；组织、指导、协调并直接参与对各种危害社会政治稳定、危害国家安全案件、事件的侦查、控制、防范、处置突发事件、案件；组织协调、监督监察宗教领域、文化领域、经济领域及特殊领域的安全保卫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2.预防和打击刑事犯罪的侦查工作；坚决打击爆炸、暗杀等恐怖案件和毒品违法犯罪的这侦破工作。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3.强化队伍管理职能，加强公安队伍的思想、组织、作风建设，通过改革建立统一、高效的公安体制。</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4.监督管理公共信息网络的安全监察工作。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5.组织实施反分裂斗争的重大行动。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6.管理户口、居民身份证、国籍、出入境事务等。</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7.制定出本年度公安局的长远规划和年度计划，管理物资装备；同时开展一系列的公安宣传工作。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8.制定本县公安工作规章制度</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9.制定出本单位公安队伍监督管理工作规章制度，管理公安队伍；检查、监督本县公安机关的执法活动；对警察的一切活动进行监督；按规定权限实施监督。</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10.指导、维护道路安全、交通秩序以及机动车辆、牌照和驾驶证管理工作。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11.依法承担执行刑罚工作；指导、监督对看守所等管理工作。</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12.承办县委、政府和上级业务部门交办的其他事项。</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（二）部门机构设置</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1</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bCs w:val="0"/>
          <w:sz w:val="32"/>
          <w:szCs w:val="32"/>
        </w:rPr>
        <w:t>县公安局</w:t>
      </w:r>
      <w:r>
        <w:rPr>
          <w:rFonts w:hint="eastAsia" w:ascii="仿宋_GB2312" w:hAnsi="仿宋_GB2312" w:eastAsia="仿宋_GB2312" w:cs="仿宋_GB2312"/>
          <w:b/>
          <w:bCs w:val="0"/>
          <w:sz w:val="32"/>
          <w:szCs w:val="32"/>
          <w:lang w:eastAsia="zh-CN"/>
        </w:rPr>
        <w:t>：</w:t>
      </w:r>
      <w:r>
        <w:rPr>
          <w:rFonts w:hint="eastAsia" w:ascii="仿宋_GB2312" w:hAnsi="仿宋_GB2312" w:eastAsia="仿宋_GB2312" w:cs="仿宋_GB2312"/>
          <w:b w:val="0"/>
          <w:bCs/>
          <w:sz w:val="32"/>
          <w:szCs w:val="32"/>
        </w:rPr>
        <w:t>工布江达县公安局设有11个局机关机构：、刑事侦查大队、治安管理大队、国内安全保卫大队、出入境管理大队、交通管理大队、特警大队、局办公室（110指挥中心、政工人事科）、法制督察室、看守所、警务保障室、森警大队。</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2</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bCs w:val="0"/>
          <w:sz w:val="32"/>
          <w:szCs w:val="32"/>
        </w:rPr>
        <w:t>乡镇派出所</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val="0"/>
          <w:bCs/>
          <w:sz w:val="32"/>
          <w:szCs w:val="32"/>
        </w:rPr>
        <w:t>工布江达县公安局有9个派出所，即：县城派出所、巴河镇派出所、仲莎乡派出所、错高乡派出所、朱拉乡派出所、江达乡派出所、娘浦乡派出所、金达镇派出所、加兴乡派出所。</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3</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bCs w:val="0"/>
          <w:sz w:val="32"/>
          <w:szCs w:val="32"/>
        </w:rPr>
        <w:t>便民警务站</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val="0"/>
          <w:bCs/>
          <w:sz w:val="32"/>
          <w:szCs w:val="32"/>
        </w:rPr>
        <w:t>工布江达县公安局设有7个警务站：泉州路便民警务站、经一路便民警务站、解放路便民警务站、果林路便民警务站、步行街便民警务站、光明路便民警务站、双拥路便民警务站。</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4</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bCs w:val="0"/>
          <w:sz w:val="32"/>
          <w:szCs w:val="32"/>
        </w:rPr>
        <w:t>二级公安检查站</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val="0"/>
          <w:bCs/>
          <w:sz w:val="32"/>
          <w:szCs w:val="32"/>
        </w:rPr>
        <w:t>工布江达县公安局设有1个二级公安检查站：松多二级检查站。</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5</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bCs w:val="0"/>
          <w:sz w:val="32"/>
          <w:szCs w:val="32"/>
        </w:rPr>
        <w:t>寺庙警务室</w:t>
      </w:r>
      <w:r>
        <w:rPr>
          <w:rFonts w:hint="eastAsia" w:ascii="仿宋_GB2312" w:hAnsi="仿宋_GB2312" w:eastAsia="仿宋_GB2312" w:cs="仿宋_GB2312"/>
          <w:b/>
          <w:bCs w:val="0"/>
          <w:sz w:val="32"/>
          <w:szCs w:val="32"/>
          <w:lang w:val="en-US" w:eastAsia="zh-CN"/>
        </w:rPr>
        <w:t>：</w:t>
      </w:r>
      <w:r>
        <w:rPr>
          <w:rFonts w:hint="eastAsia" w:ascii="仿宋_GB2312" w:hAnsi="仿宋_GB2312" w:eastAsia="仿宋_GB2312" w:cs="仿宋_GB2312"/>
          <w:b w:val="0"/>
          <w:bCs/>
          <w:sz w:val="32"/>
          <w:szCs w:val="32"/>
        </w:rPr>
        <w:t>工布江达县公安局设有2个寺庙警务室：拉如寺警务室、日嘎寺警务室。</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44"/>
          <w:szCs w:val="44"/>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44"/>
          <w:szCs w:val="44"/>
        </w:rPr>
        <w:t>第二部分</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工布江达县公安局2022年度预算明细表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一、财政拨款收支总表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二、一般公共预算支出表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三、一般公共预算基本支出表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四、一般公共预算“三公”经费支出表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五、政府性基金预算支出表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六、部门收支总表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七、部门收入总表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八、部门支出总表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 xml:space="preserve">（表格详见附件）    </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44"/>
          <w:szCs w:val="44"/>
        </w:rPr>
        <w:t>第三部分</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工布江达县公安局2022年度</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部门预算数据分析</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一、2022年度财政拨款收支预算情况总体说明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工布江达县公安局2022年部门预算反映的是工布江达县公安局本级财政资金收支预算。</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按照预算管理有关规定，2022年工布江达县公安局当年财政拨款收入总预算7131.95万元。相应安排支出预算7131.95万元，其中：工资福利支出5367.69万元，商品和服务支出860.25万元，其他项目支出904.01万元。</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二、2022年度公共财政预算拨款支出7131.95万元，主要支出项目（按功能科目分类统计）</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80" w:firstLineChars="15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（一）行政运行5086.64万元</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主要用于人员工资、公用支出。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80" w:firstLineChars="15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（二）社会障缴费支出1141.30万元</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主要用于养老保险、医疗保险、失业保险、工伤保险、生育保险和住房公积金支出。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80" w:firstLineChars="15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（三）项目支出904.01万元</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主要用于行政事业性项目支出，包括辅警公用经费、人民警察法定节假日加班补助和值勤岗位津贴、公安业务经费和装备经费等支出。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三、2022年度一般公共预算当年财政拨款情况说明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80" w:firstLineChars="15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（一）2022年一般公共预算当年财政拨款7131.95万元，2021年一般公共预算当年财政拨款6911.59万元，增加了220.36万元，增加的原因在于行政事业性项目支出中的公安业务和装备经费。</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480" w:firstLineChars="15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一般公共预算当年财政拨款公共安全支出5086.64万元，占总支出7131.95万元的71.32%；社会保障和就业支出442.72万元，占总支出的6.21%；卫生健康支出292.06万元，占总支出的4.10%；住房保障支出406.52万元，占总支出的5.7%；行政事业性项目支出904.01万元，占总支出的12.67%。</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（三）一般公共预算当年财政拨款具体使用情况</w:t>
      </w:r>
      <w:r>
        <w:rPr>
          <w:rFonts w:hint="eastAsia" w:ascii="仿宋_GB2312" w:hAnsi="仿宋_GB2312" w:eastAsia="仿宋_GB2312" w:cs="仿宋_GB2312"/>
          <w:b w:val="0"/>
          <w:bCs/>
          <w:sz w:val="32"/>
          <w:szCs w:val="32"/>
          <w:lang w:eastAsia="zh-CN"/>
        </w:rPr>
        <w:t>：</w:t>
      </w:r>
      <w:r>
        <w:rPr>
          <w:rFonts w:hint="eastAsia" w:ascii="仿宋_GB2312" w:hAnsi="仿宋_GB2312" w:eastAsia="仿宋_GB2312" w:cs="仿宋_GB2312"/>
          <w:b w:val="0"/>
          <w:bCs/>
          <w:sz w:val="32"/>
          <w:szCs w:val="32"/>
        </w:rPr>
        <w:t>2040201行政运行5086.64万元，主要用于人员工资、公用支出；2040299其他公安支出904.01万元，用于辅警公用经费、人民警察法定节假日加班补助和值勤岗位津贴、公安业务经费和装备经费等支出； 2082699财政对其他基本养老保险基金的补助437.18万元，为养老保险支出；2082701财政对失业保险基金的补助0.08万元，为失业保险支出；2082702财政对工伤保险基金的补助5.46万元，为工伤保险支出；2101103公务员医疗补助54.34万元，为公务员医疗补助支出；2101201财政对职工基本医疗保险基金的补助237.72万元，为职工基本医疗保险支出；2210201住房公积金406.52万元，为住房公积金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四、2022年一般公共预算基本支出情况说明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 xml:space="preserve">2022年工布江达县公安局一般公共预算基本支出7131.95万元。 </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工资福利支出5367.69万元，包括基本工资770.88万元、津贴补贴2480.80万元、奖金227.81 万元、养老保险437.18万元、基本医疗保险237.72万元、公务员医疗补助54.34万元、失业保险0.08万元、工伤保5.46万元、住房公积金406.52万元、休假探亲费183.6万元、其他工资福利支出563.3万元。</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公用经费860.25万元，包括办公费47.19万元、印刷费39.31万元、水费45.70万元、电费40.80万元、邮电费39.31万元、差旅费157.28万元、日常维修费39.31万元、公务接待费39.31万元、工会经费68.63万元、福利费1.22万元、电梯运行维护费4万元、车辆运行维护费196.59万元、其他商品和服务支出141.6万元。</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五、2022年度一般公共预算“三公”经费预算情况说明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2022年 “三公”经费财政拨款预算数为235.9万元，其中：因公出国（境）经费0万元，公务接待费39.31万元，公务用车运行维护费196.59万元。具体情况如下：</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（一）因公出国（境）经费</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2022年预算安排0万元，与上年相比持平。</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（二）公务接待费</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2022年预算安排39.31万元，主要用于工作交流、视擦、代表活动等方面的接待活动。</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楷体_GB2312" w:hAnsi="楷体_GB2312" w:eastAsia="楷体_GB2312" w:cs="楷体_GB2312"/>
          <w:b w:val="0"/>
          <w:bCs/>
          <w:sz w:val="32"/>
          <w:szCs w:val="32"/>
        </w:rPr>
        <w:t>（三）公务用车购置及运行费</w:t>
      </w:r>
      <w:r>
        <w:rPr>
          <w:rFonts w:hint="eastAsia" w:ascii="楷体_GB2312" w:hAnsi="楷体_GB2312" w:eastAsia="楷体_GB2312" w:cs="楷体_GB2312"/>
          <w:b w:val="0"/>
          <w:bCs/>
          <w:sz w:val="32"/>
          <w:szCs w:val="32"/>
          <w:lang w:eastAsia="zh-CN"/>
        </w:rPr>
        <w:t>：</w:t>
      </w:r>
      <w:r>
        <w:rPr>
          <w:rFonts w:hint="eastAsia" w:ascii="仿宋_GB2312" w:hAnsi="仿宋_GB2312" w:eastAsia="仿宋_GB2312" w:cs="仿宋_GB2312"/>
          <w:b w:val="0"/>
          <w:bCs/>
          <w:sz w:val="32"/>
          <w:szCs w:val="32"/>
        </w:rPr>
        <w:t>2021年预算安排196.59万元，主要用于公务用车燃料、保险等方面支出，与上年相比增加了6.74万元，主要原因是我单位2021年以来严格控制公务用车的油料费，但在节假日县城范围和国道公务车辆巡逻和执勤数量有所增加，同时新购买了5辆执勤车辆。</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六、2022年度政府性基金预算支出情况说明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工布江达县公安局2022年度没有使用政府性基金安排的支出。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七、国有资产占有情况说明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截止2021年12月31日，工布江达县公安局资产总额为7365.05万元，其中流动资产总额3104.14万元，占资产总额的42.15%；固定资产原值总额4260.91万元，累计折旧2730.67万元，则净值为1530.25万元，占资产总额57.85%；流动负债合计118.53万元，净资产合计5329.34万元。</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黑体" w:hAnsi="黑体" w:eastAsia="黑体" w:cs="黑体"/>
          <w:b w:val="0"/>
          <w:bCs/>
          <w:sz w:val="32"/>
          <w:szCs w:val="32"/>
        </w:rPr>
      </w:pPr>
      <w:r>
        <w:rPr>
          <w:rFonts w:hint="eastAsia" w:ascii="黑体" w:hAnsi="黑体" w:eastAsia="黑体" w:cs="黑体"/>
          <w:b w:val="0"/>
          <w:bCs/>
          <w:sz w:val="32"/>
          <w:szCs w:val="32"/>
        </w:rPr>
        <w:t>八、预算绩效情况说明</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2022年工布江达县公安局当年财政拨款收入7131.95万元，相应安排支出预算7131.95万元。其中：工资福利支出5367.69万元，商品和服务支出860.25万元，行政事业性项目支出904.01万元。工布江达县公安局将以习近平新时代中国特色社会主义思想为指引，认真落实习近平总书记“对党忠诚、服务人民、执法公正、纪律严明”的总要求，坚持围绕中心、服务大局，锐意进取、扎实工作，不断增强“四个意识”、坚定“四个自信”、做到“两个维护”，狠抓维护国家政治安全和社会稳定各项工作措施的落实，充分发挥维稳主力军作用，坚决确保全市社会局势的持续和谐稳定。</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方正小标宋简体" w:hAnsi="方正小标宋简体" w:eastAsia="方正小标宋简体" w:cs="方正小标宋简体"/>
          <w:b w:val="0"/>
          <w:bCs/>
          <w:sz w:val="32"/>
          <w:szCs w:val="32"/>
        </w:rPr>
      </w:pPr>
      <w:r>
        <w:rPr>
          <w:rFonts w:hint="eastAsia" w:ascii="方正小标宋简体" w:hAnsi="方正小标宋简体" w:eastAsia="方正小标宋简体" w:cs="方正小标宋简体"/>
          <w:b w:val="0"/>
          <w:bCs/>
          <w:sz w:val="44"/>
          <w:szCs w:val="44"/>
        </w:rPr>
        <w:t>第四部分</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jc w:val="center"/>
        <w:textAlignment w:val="auto"/>
        <w:outlineLvl w:val="9"/>
        <w:rPr>
          <w:rFonts w:hint="eastAsia" w:ascii="楷体_GB2312" w:hAnsi="楷体_GB2312" w:eastAsia="楷体_GB2312" w:cs="楷体_GB2312"/>
          <w:b w:val="0"/>
          <w:bCs/>
          <w:sz w:val="32"/>
          <w:szCs w:val="32"/>
        </w:rPr>
      </w:pPr>
      <w:r>
        <w:rPr>
          <w:rFonts w:hint="eastAsia" w:ascii="楷体_GB2312" w:hAnsi="楷体_GB2312" w:eastAsia="楷体_GB2312" w:cs="楷体_GB2312"/>
          <w:b w:val="0"/>
          <w:bCs/>
          <w:sz w:val="32"/>
          <w:szCs w:val="32"/>
        </w:rPr>
        <w:t>名词解释</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1.一般公共预算拨款收入：</w:t>
      </w:r>
      <w:r>
        <w:rPr>
          <w:rFonts w:hint="eastAsia" w:ascii="仿宋_GB2312" w:hAnsi="仿宋_GB2312" w:eastAsia="仿宋_GB2312" w:cs="仿宋_GB2312"/>
          <w:b w:val="0"/>
          <w:bCs/>
          <w:sz w:val="32"/>
          <w:szCs w:val="32"/>
        </w:rPr>
        <w:t>指财政部门当年拨付的资金。</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2.一般公共安全支出：</w:t>
      </w:r>
      <w:r>
        <w:rPr>
          <w:rFonts w:hint="eastAsia" w:ascii="仿宋_GB2312" w:hAnsi="仿宋_GB2312" w:eastAsia="仿宋_GB2312" w:cs="仿宋_GB2312"/>
          <w:b w:val="0"/>
          <w:bCs/>
          <w:sz w:val="32"/>
          <w:szCs w:val="32"/>
        </w:rPr>
        <w:t>指用于保障工布江达县公安局机构正常运转、完成日常和特定的工作任务或事业发展目标的支出。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3.行政运行（项）：</w:t>
      </w:r>
      <w:r>
        <w:rPr>
          <w:rFonts w:hint="eastAsia" w:ascii="仿宋_GB2312" w:hAnsi="仿宋_GB2312" w:eastAsia="仿宋_GB2312" w:cs="仿宋_GB2312"/>
          <w:b w:val="0"/>
          <w:bCs/>
          <w:sz w:val="32"/>
          <w:szCs w:val="32"/>
        </w:rPr>
        <w:t>指用于保障工布江达县公安局完成日常工作任务而发生的基本支出。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4.住房保障支出（类）住房改革支出（款）：</w:t>
      </w:r>
      <w:r>
        <w:rPr>
          <w:rFonts w:hint="eastAsia" w:ascii="仿宋_GB2312" w:hAnsi="仿宋_GB2312" w:eastAsia="仿宋_GB2312" w:cs="仿宋_GB2312"/>
          <w:b w:val="0"/>
          <w:bCs/>
          <w:sz w:val="32"/>
          <w:szCs w:val="32"/>
        </w:rPr>
        <w:t>指工布江达县公安局按照国家政策规定用于住房改革方面的支出。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5.住房公积金（项）：</w:t>
      </w:r>
      <w:r>
        <w:rPr>
          <w:rFonts w:hint="eastAsia" w:ascii="仿宋_GB2312" w:hAnsi="仿宋_GB2312" w:eastAsia="仿宋_GB2312" w:cs="仿宋_GB2312"/>
          <w:b w:val="0"/>
          <w:bCs/>
          <w:sz w:val="32"/>
          <w:szCs w:val="32"/>
        </w:rPr>
        <w:t>是按照《住房公积金管理条例》的规定，由单位及其在职职工缴存的长期住房储金。该项政策始于上世纪九十年代时期，在全国机关、企事业单位在职职工中普遍实施，缴存比例最低不低于5%，最高不高于12%，缴存基数为职工本人上年工资，目前已实施约20年时间。行政单位缴存基数包括国家统一规定的公务员职务级别、级别工资、机关工人岗位工资和技术等级（职工）工资、年终一次性奖金、特殊岗位津贴、艰苦边远地区津贴，规范后发放的工作津贴、生活性补贴等；事业单位缴存基数包括国家统一规定的岗位工资、薪级工资、绩效工资、艰苦边远地区津贴、特殊岗位津贴等。</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6.基本支出：</w:t>
      </w:r>
      <w:r>
        <w:rPr>
          <w:rFonts w:hint="eastAsia" w:ascii="仿宋_GB2312" w:hAnsi="仿宋_GB2312" w:eastAsia="仿宋_GB2312" w:cs="仿宋_GB2312"/>
          <w:b w:val="0"/>
          <w:bCs/>
          <w:sz w:val="32"/>
          <w:szCs w:val="32"/>
        </w:rPr>
        <w:t>指为保障机构正常运转，完成日常工作任务而发生的人员支出和公用支出。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7.项目支出：</w:t>
      </w:r>
      <w:r>
        <w:rPr>
          <w:rFonts w:hint="eastAsia" w:ascii="仿宋_GB2312" w:hAnsi="仿宋_GB2312" w:eastAsia="仿宋_GB2312" w:cs="仿宋_GB2312"/>
          <w:b w:val="0"/>
          <w:bCs/>
          <w:sz w:val="32"/>
          <w:szCs w:val="32"/>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8.“三公”经费：</w:t>
      </w:r>
      <w:r>
        <w:rPr>
          <w:rFonts w:hint="eastAsia" w:ascii="仿宋_GB2312" w:hAnsi="仿宋_GB2312" w:eastAsia="仿宋_GB2312" w:cs="仿宋_GB2312"/>
          <w:b w:val="0"/>
          <w:bCs/>
          <w:sz w:val="32"/>
          <w:szCs w:val="32"/>
        </w:rPr>
        <w:t>指纳入中央财政预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3" w:firstLineChars="200"/>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bCs w:val="0"/>
          <w:sz w:val="32"/>
          <w:szCs w:val="32"/>
        </w:rPr>
        <w:t>9.其他收入：</w:t>
      </w:r>
      <w:r>
        <w:rPr>
          <w:rFonts w:hint="eastAsia" w:ascii="仿宋_GB2312" w:hAnsi="仿宋_GB2312" w:eastAsia="仿宋_GB2312" w:cs="仿宋_GB2312"/>
          <w:b w:val="0"/>
          <w:bCs/>
          <w:sz w:val="32"/>
          <w:szCs w:val="32"/>
        </w:rPr>
        <w:t>指上述“一般公共预算拨款收入”以外的收入。主要是按规定动用的售房收入、存款利息收入等。</w:t>
      </w: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640" w:firstLineChars="200"/>
        <w:textAlignment w:val="auto"/>
        <w:outlineLvl w:val="9"/>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textAlignment w:val="auto"/>
        <w:outlineLvl w:val="9"/>
        <w:rPr>
          <w:rFonts w:hint="eastAsia" w:ascii="仿宋_GB2312" w:hAnsi="仿宋_GB2312" w:eastAsia="仿宋_GB2312" w:cs="仿宋_GB2312"/>
          <w:b w:val="0"/>
          <w:bCs/>
          <w:sz w:val="32"/>
          <w:szCs w:val="32"/>
        </w:rPr>
      </w:pPr>
    </w:p>
    <w:sectPr>
      <w:headerReference r:id="rId3" w:type="default"/>
      <w:footerReference r:id="rId4" w:type="default"/>
      <w:footerReference r:id="rId5" w:type="even"/>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sz w:val="24"/>
        <w:szCs w:val="24"/>
      </w:rPr>
    </w:pPr>
    <w:r>
      <w:rPr>
        <w:rStyle w:val="5"/>
        <w:sz w:val="24"/>
        <w:szCs w:val="24"/>
      </w:rPr>
      <w:fldChar w:fldCharType="begin"/>
    </w:r>
    <w:r>
      <w:rPr>
        <w:rStyle w:val="5"/>
        <w:sz w:val="24"/>
        <w:szCs w:val="24"/>
      </w:rPr>
      <w:instrText xml:space="preserve">PAGE  </w:instrText>
    </w:r>
    <w:r>
      <w:rPr>
        <w:rStyle w:val="5"/>
        <w:sz w:val="24"/>
        <w:szCs w:val="24"/>
      </w:rPr>
      <w:fldChar w:fldCharType="separate"/>
    </w:r>
    <w:r>
      <w:rPr>
        <w:rStyle w:val="5"/>
        <w:sz w:val="24"/>
        <w:szCs w:val="24"/>
      </w:rPr>
      <w:t>10</w:t>
    </w:r>
    <w:r>
      <w:rPr>
        <w:rStyle w:val="5"/>
        <w:sz w:val="24"/>
        <w:szCs w:val="24"/>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479C7"/>
    <w:rsid w:val="000174F1"/>
    <w:rsid w:val="000342B0"/>
    <w:rsid w:val="000538A3"/>
    <w:rsid w:val="00110819"/>
    <w:rsid w:val="00132C1A"/>
    <w:rsid w:val="00173D12"/>
    <w:rsid w:val="00194E24"/>
    <w:rsid w:val="00196482"/>
    <w:rsid w:val="001968A3"/>
    <w:rsid w:val="001A19B4"/>
    <w:rsid w:val="001C285C"/>
    <w:rsid w:val="001E599D"/>
    <w:rsid w:val="00340272"/>
    <w:rsid w:val="00457CFF"/>
    <w:rsid w:val="004C4AA4"/>
    <w:rsid w:val="005C3D23"/>
    <w:rsid w:val="0061494C"/>
    <w:rsid w:val="006807F9"/>
    <w:rsid w:val="006C01AB"/>
    <w:rsid w:val="006F1F05"/>
    <w:rsid w:val="00737CA6"/>
    <w:rsid w:val="00886A60"/>
    <w:rsid w:val="008D1C93"/>
    <w:rsid w:val="00902754"/>
    <w:rsid w:val="009252B4"/>
    <w:rsid w:val="00A479C7"/>
    <w:rsid w:val="00A71B99"/>
    <w:rsid w:val="00A931AF"/>
    <w:rsid w:val="00AC1A04"/>
    <w:rsid w:val="00B27B17"/>
    <w:rsid w:val="00B50177"/>
    <w:rsid w:val="00B61ACA"/>
    <w:rsid w:val="00C13999"/>
    <w:rsid w:val="00CC37AC"/>
    <w:rsid w:val="00D24A2A"/>
    <w:rsid w:val="00D25027"/>
    <w:rsid w:val="00D849B9"/>
    <w:rsid w:val="00E226E2"/>
    <w:rsid w:val="00E325AF"/>
    <w:rsid w:val="00E50A7D"/>
    <w:rsid w:val="00EB4A21"/>
    <w:rsid w:val="00EF00EF"/>
    <w:rsid w:val="00F94EAF"/>
    <w:rsid w:val="00FF33CD"/>
    <w:rsid w:val="1F503698"/>
    <w:rsid w:val="24D4346F"/>
    <w:rsid w:val="3E99419C"/>
    <w:rsid w:val="3F2668E8"/>
    <w:rsid w:val="41636648"/>
    <w:rsid w:val="42613D7F"/>
    <w:rsid w:val="5D604B5B"/>
    <w:rsid w:val="70A82C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 w:type="character" w:customStyle="1" w:styleId="7">
    <w:name w:val="页脚 Char"/>
    <w:basedOn w:val="4"/>
    <w:link w:val="2"/>
    <w:qFormat/>
    <w:uiPriority w:val="0"/>
    <w:rPr>
      <w:rFonts w:ascii="Times New Roman" w:hAnsi="Times New Roman" w:eastAsia="宋体" w:cs="Times New Roman"/>
      <w:sz w:val="18"/>
      <w:szCs w:val="18"/>
    </w:rPr>
  </w:style>
  <w:style w:type="character" w:customStyle="1" w:styleId="8">
    <w:name w:val="页眉 Char"/>
    <w:basedOn w:val="4"/>
    <w:link w:val="3"/>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81FD624-CA6D-460F-9BF5-C810F9CEC861}">
  <ds:schemaRefs/>
</ds:datastoreItem>
</file>

<file path=docProps/app.xml><?xml version="1.0" encoding="utf-8"?>
<Properties xmlns="http://schemas.openxmlformats.org/officeDocument/2006/extended-properties" xmlns:vt="http://schemas.openxmlformats.org/officeDocument/2006/docPropsVTypes">
  <Template>Normal.dotm</Template>
  <Pages>11</Pages>
  <Words>669</Words>
  <Characters>3819</Characters>
  <Lines>31</Lines>
  <Paragraphs>8</Paragraphs>
  <ScaleCrop>false</ScaleCrop>
  <LinksUpToDate>false</LinksUpToDate>
  <CharactersWithSpaces>4480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2021-03-01T02:17:00Z</dcterms:created>
  <dc:creator>Administrator</dc:creator>
  <cp:lastModifiedBy>Administrator</cp:lastModifiedBy>
  <dcterms:modified xsi:type="dcterms:W3CDTF">2022-02-07T04:08:58Z</dcterms:modified>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