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方正小标宋简体" w:hAnsi="仿宋" w:eastAsia="方正小标宋简体"/>
          <w:sz w:val="44"/>
          <w:szCs w:val="44"/>
        </w:rPr>
      </w:pPr>
    </w:p>
    <w:p>
      <w:pPr>
        <w:ind w:firstLine="1320" w:firstLineChars="300"/>
        <w:jc w:val="both"/>
        <w:rPr>
          <w:rFonts w:hint="eastAsia" w:ascii="方正小标宋简体" w:hAnsi="仿宋" w:eastAsia="方正小标宋简体"/>
          <w:sz w:val="44"/>
          <w:szCs w:val="44"/>
        </w:rPr>
      </w:pPr>
    </w:p>
    <w:p>
      <w:pPr>
        <w:ind w:firstLine="1320" w:firstLineChars="300"/>
        <w:jc w:val="center"/>
        <w:rPr>
          <w:rFonts w:hint="eastAsia" w:ascii="方正小标宋简体" w:hAnsi="仿宋" w:eastAsia="方正小标宋简体"/>
          <w:sz w:val="44"/>
          <w:szCs w:val="44"/>
        </w:rPr>
      </w:pPr>
    </w:p>
    <w:p>
      <w:pPr>
        <w:jc w:val="center"/>
        <w:rPr>
          <w:rFonts w:hint="eastAsia" w:ascii="方正小标宋简体" w:hAnsi="仿宋" w:eastAsia="方正小标宋简体"/>
          <w:sz w:val="44"/>
          <w:szCs w:val="44"/>
          <w:lang w:eastAsia="zh-CN"/>
        </w:rPr>
      </w:pPr>
      <w:r>
        <w:rPr>
          <w:rFonts w:hint="eastAsia" w:ascii="方正小标宋简体" w:hAnsi="仿宋" w:eastAsia="方正小标宋简体"/>
          <w:sz w:val="44"/>
          <w:szCs w:val="44"/>
          <w:lang w:eastAsia="zh-CN"/>
        </w:rPr>
        <w:t>中国共产党工布江达县委员会组织部</w:t>
      </w:r>
    </w:p>
    <w:p>
      <w:pPr>
        <w:jc w:val="center"/>
        <w:rPr>
          <w:rFonts w:hint="eastAsia" w:ascii="方正小标宋简体" w:hAnsi="仿宋" w:eastAsia="方正小标宋简体"/>
          <w:sz w:val="44"/>
          <w:szCs w:val="44"/>
        </w:rPr>
      </w:pPr>
      <w:r>
        <w:rPr>
          <w:rFonts w:hint="eastAsia" w:ascii="方正小标宋简体" w:hAnsi="仿宋" w:eastAsia="方正小标宋简体"/>
          <w:sz w:val="44"/>
          <w:szCs w:val="44"/>
        </w:rPr>
        <w:t>2024年度部门（单位）预算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仿宋" w:hAnsi="仿宋" w:eastAsia="仿宋"/>
          <w:sz w:val="32"/>
          <w:szCs w:val="32"/>
        </w:rPr>
      </w:pPr>
      <w:r>
        <w:rPr>
          <w:rFonts w:hint="eastAsia" w:ascii="仿宋" w:hAnsi="仿宋" w:eastAsia="仿宋"/>
          <w:sz w:val="32"/>
          <w:szCs w:val="32"/>
          <w:lang w:val="en-US" w:eastAsia="zh-CN"/>
        </w:rPr>
        <w:t>2024</w:t>
      </w:r>
      <w:r>
        <w:rPr>
          <w:rFonts w:hint="eastAsia" w:ascii="仿宋" w:hAnsi="仿宋" w:eastAsia="仿宋"/>
          <w:sz w:val="32"/>
          <w:szCs w:val="32"/>
        </w:rPr>
        <w:t xml:space="preserve">年   </w:t>
      </w:r>
      <w:r>
        <w:rPr>
          <w:rFonts w:hint="eastAsia" w:ascii="仿宋" w:hAnsi="仿宋" w:eastAsia="仿宋"/>
          <w:sz w:val="32"/>
          <w:szCs w:val="32"/>
          <w:lang w:val="en-US" w:eastAsia="zh-CN"/>
        </w:rPr>
        <w:t>2</w:t>
      </w:r>
      <w:r>
        <w:rPr>
          <w:rFonts w:hint="eastAsia" w:ascii="仿宋" w:hAnsi="仿宋" w:eastAsia="仿宋"/>
          <w:sz w:val="32"/>
          <w:szCs w:val="32"/>
        </w:rPr>
        <w:t xml:space="preserve">  月    </w:t>
      </w:r>
      <w:r>
        <w:rPr>
          <w:rFonts w:hint="eastAsia" w:ascii="仿宋" w:hAnsi="仿宋" w:eastAsia="仿宋"/>
          <w:sz w:val="32"/>
          <w:szCs w:val="32"/>
          <w:lang w:val="en-US" w:eastAsia="zh-CN"/>
        </w:rPr>
        <w:t>5</w:t>
      </w:r>
      <w:r>
        <w:rPr>
          <w:rFonts w:hint="eastAsia" w:ascii="仿宋" w:hAnsi="仿宋" w:eastAsia="仿宋"/>
          <w:sz w:val="32"/>
          <w:szCs w:val="32"/>
        </w:rPr>
        <w:t xml:space="preserve"> 日</w:t>
      </w:r>
    </w:p>
    <w:p>
      <w:pPr>
        <w:jc w:val="center"/>
        <w:rPr>
          <w:rFonts w:hint="eastAsia" w:ascii="方正小标宋简体" w:hAnsi="仿宋" w:eastAsia="方正小标宋简体"/>
          <w:sz w:val="44"/>
          <w:szCs w:val="44"/>
        </w:rPr>
      </w:pPr>
    </w:p>
    <w:p>
      <w:pPr>
        <w:jc w:val="center"/>
        <w:rPr>
          <w:rFonts w:hint="eastAsia" w:ascii="方正小标宋简体" w:hAnsi="仿宋" w:eastAsia="方正小标宋简体"/>
          <w:sz w:val="44"/>
          <w:szCs w:val="44"/>
        </w:rPr>
      </w:pPr>
    </w:p>
    <w:p>
      <w:pPr>
        <w:jc w:val="center"/>
        <w:rPr>
          <w:rFonts w:hint="eastAsia" w:ascii="方正小标宋简体" w:hAnsi="仿宋" w:eastAsia="方正小标宋简体"/>
          <w:sz w:val="44"/>
          <w:szCs w:val="44"/>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 xml:space="preserve">第一部分  </w:t>
      </w:r>
      <w:r>
        <w:rPr>
          <w:rFonts w:hint="eastAsia" w:ascii="方正小标宋简体" w:hAnsi="仿宋" w:eastAsia="方正小标宋简体"/>
          <w:sz w:val="32"/>
          <w:szCs w:val="32"/>
          <w:lang w:eastAsia="zh-CN"/>
        </w:rPr>
        <w:t>中国共产党工布江达县委员会组织部</w:t>
      </w:r>
      <w:r>
        <w:rPr>
          <w:rFonts w:hint="eastAsia" w:ascii="方正小标宋简体" w:hAnsi="仿宋" w:eastAsia="方正小标宋简体"/>
          <w:sz w:val="32"/>
          <w:szCs w:val="32"/>
        </w:rPr>
        <w:t>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 xml:space="preserve">第二部分  </w:t>
      </w:r>
      <w:r>
        <w:rPr>
          <w:rFonts w:hint="eastAsia" w:ascii="方正小标宋简体" w:hAnsi="仿宋" w:eastAsia="方正小标宋简体"/>
          <w:sz w:val="32"/>
          <w:szCs w:val="32"/>
          <w:lang w:eastAsia="zh-CN"/>
        </w:rPr>
        <w:t>中国共产党工布江达县委员会组织部</w:t>
      </w:r>
      <w:r>
        <w:rPr>
          <w:rFonts w:hint="eastAsia" w:ascii="方正小标宋简体" w:hAnsi="仿宋" w:eastAsia="方正小标宋简体"/>
          <w:sz w:val="32"/>
          <w:szCs w:val="32"/>
        </w:rPr>
        <w:t>部门预算明细表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 xml:space="preserve">第三部分  </w:t>
      </w:r>
      <w:r>
        <w:rPr>
          <w:rFonts w:hint="eastAsia" w:ascii="方正小标宋简体" w:hAnsi="仿宋" w:eastAsia="方正小标宋简体"/>
          <w:sz w:val="32"/>
          <w:szCs w:val="32"/>
          <w:lang w:eastAsia="zh-CN"/>
        </w:rPr>
        <w:t>中国共产党工布江达县委员会组织部</w:t>
      </w:r>
      <w:r>
        <w:rPr>
          <w:rFonts w:hint="eastAsia" w:ascii="方正小标宋简体" w:hAnsi="仿宋" w:eastAsia="方正小标宋简体"/>
          <w:sz w:val="32"/>
          <w:szCs w:val="32"/>
        </w:rPr>
        <w:t>部门预算数据分析</w:t>
      </w:r>
    </w:p>
    <w:p>
      <w:pPr>
        <w:rPr>
          <w:rFonts w:ascii="黑体" w:hAnsi="黑体" w:eastAsia="黑体"/>
          <w:sz w:val="32"/>
          <w:szCs w:val="32"/>
        </w:rPr>
      </w:pPr>
      <w:r>
        <w:rPr>
          <w:rFonts w:hint="eastAsia" w:ascii="黑体" w:hAnsi="黑体" w:eastAsia="黑体"/>
          <w:sz w:val="32"/>
          <w:szCs w:val="32"/>
        </w:rPr>
        <w:t>一、部门收支总体情况</w:t>
      </w:r>
    </w:p>
    <w:p>
      <w:pPr>
        <w:rPr>
          <w:rFonts w:ascii="黑体" w:hAnsi="黑体" w:eastAsia="黑体"/>
          <w:sz w:val="32"/>
          <w:szCs w:val="32"/>
        </w:rPr>
      </w:pPr>
      <w:r>
        <w:rPr>
          <w:rFonts w:hint="eastAsia" w:ascii="黑体" w:hAnsi="黑体" w:eastAsia="黑体"/>
          <w:sz w:val="32"/>
          <w:szCs w:val="32"/>
        </w:rPr>
        <w:t>二、部门收入总体情况</w:t>
      </w:r>
    </w:p>
    <w:p>
      <w:pPr>
        <w:rPr>
          <w:rFonts w:ascii="黑体" w:hAnsi="黑体" w:eastAsia="黑体"/>
          <w:sz w:val="32"/>
          <w:szCs w:val="32"/>
        </w:rPr>
      </w:pPr>
      <w:r>
        <w:rPr>
          <w:rFonts w:hint="eastAsia" w:ascii="黑体" w:hAnsi="黑体" w:eastAsia="黑体"/>
          <w:sz w:val="32"/>
          <w:szCs w:val="32"/>
        </w:rPr>
        <w:t>三、部门支出总体情况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eastAsia="zh-CN"/>
        </w:rPr>
        <w:t>中国共产党工布江达县委员会组织部</w:t>
      </w:r>
      <w:r>
        <w:rPr>
          <w:rFonts w:hint="eastAsia" w:ascii="方正小标宋简体" w:hAnsi="仿宋" w:eastAsia="方正小标宋简体"/>
          <w:sz w:val="32"/>
          <w:szCs w:val="32"/>
        </w:rPr>
        <w:t>概况</w:t>
      </w:r>
    </w:p>
    <w:p>
      <w:pPr>
        <w:rPr>
          <w:rFonts w:ascii="仿宋" w:hAnsi="仿宋" w:eastAsia="仿宋"/>
          <w:sz w:val="32"/>
          <w:szCs w:val="32"/>
        </w:rPr>
      </w:pPr>
    </w:p>
    <w:p>
      <w:pPr>
        <w:rPr>
          <w:rFonts w:ascii="黑体" w:hAnsi="黑体" w:eastAsia="黑体"/>
          <w:sz w:val="32"/>
          <w:szCs w:val="32"/>
        </w:rPr>
      </w:pPr>
      <w:r>
        <w:rPr>
          <w:rFonts w:hint="eastAsia" w:ascii="黑体" w:hAnsi="黑体" w:eastAsia="黑体"/>
          <w:sz w:val="32"/>
          <w:szCs w:val="32"/>
        </w:rPr>
        <w:t>一、主要职能</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40"/>
        <w:jc w:val="left"/>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工布江达县委组织部纳入预算汇编范围独立核算单位1个。</w:t>
      </w:r>
    </w:p>
    <w:p>
      <w:pPr>
        <w:pStyle w:val="2"/>
        <w:keepNext w:val="0"/>
        <w:keepLines w:val="0"/>
        <w:pageBreakBefore w:val="0"/>
        <w:widowControl w:val="0"/>
        <w:kinsoku/>
        <w:wordWrap/>
        <w:overflowPunct/>
        <w:topLinePunct w:val="0"/>
        <w:bidi w:val="0"/>
        <w:snapToGrid/>
        <w:spacing w:before="226" w:line="576" w:lineRule="exact"/>
        <w:ind w:left="25" w:right="13" w:firstLine="552"/>
        <w:jc w:val="both"/>
        <w:textAlignment w:val="auto"/>
        <w:rPr>
          <w:rFonts w:hint="eastAsia" w:ascii="仿宋_GB2312" w:hAnsi="Arial" w:eastAsia="仿宋_GB2312" w:cs="Arial"/>
          <w:snapToGrid w:val="0"/>
          <w:color w:val="000000"/>
          <w:kern w:val="0"/>
          <w:sz w:val="32"/>
          <w:szCs w:val="32"/>
          <w:lang w:val="en-US" w:eastAsia="en-US" w:bidi="ar-SA"/>
        </w:rPr>
      </w:pPr>
      <w:r>
        <w:rPr>
          <w:rFonts w:hint="eastAsia" w:ascii="仿宋_GB2312" w:hAnsi="Arial" w:eastAsia="仿宋_GB2312" w:cs="Arial"/>
          <w:snapToGrid w:val="0"/>
          <w:color w:val="000000"/>
          <w:kern w:val="0"/>
          <w:sz w:val="32"/>
          <w:szCs w:val="32"/>
          <w:lang w:val="en-US" w:eastAsia="en-US" w:bidi="ar-SA"/>
        </w:rPr>
        <w:t>（1）研究和指导党组织特别是党的基层组织建设，提出加强和改进 党的基层组织建设的意见和建议；探索和创新基层党组织设置、活动方 式，研究和指导全县党的组织制度建设、组织工作的政策法规建设，负责党建理论研究工作；</w:t>
      </w:r>
    </w:p>
    <w:p>
      <w:pPr>
        <w:pStyle w:val="2"/>
        <w:keepNext w:val="0"/>
        <w:keepLines w:val="0"/>
        <w:pageBreakBefore w:val="0"/>
        <w:widowControl w:val="0"/>
        <w:kinsoku/>
        <w:wordWrap/>
        <w:overflowPunct/>
        <w:topLinePunct w:val="0"/>
        <w:bidi w:val="0"/>
        <w:snapToGrid/>
        <w:spacing w:before="226" w:line="576" w:lineRule="exact"/>
        <w:ind w:left="20" w:right="13" w:firstLine="558"/>
        <w:jc w:val="both"/>
        <w:textAlignment w:val="auto"/>
        <w:rPr>
          <w:rFonts w:hint="eastAsia" w:ascii="仿宋_GB2312" w:hAnsi="Arial" w:eastAsia="仿宋_GB2312" w:cs="Arial"/>
          <w:snapToGrid w:val="0"/>
          <w:color w:val="000000"/>
          <w:kern w:val="0"/>
          <w:sz w:val="32"/>
          <w:szCs w:val="32"/>
          <w:lang w:val="en-US" w:eastAsia="en-US" w:bidi="ar-SA"/>
        </w:rPr>
      </w:pPr>
      <w:r>
        <w:rPr>
          <w:rFonts w:hint="eastAsia" w:ascii="仿宋_GB2312" w:hAnsi="Arial" w:eastAsia="仿宋_GB2312" w:cs="Arial"/>
          <w:snapToGrid w:val="0"/>
          <w:color w:val="000000"/>
          <w:kern w:val="0"/>
          <w:sz w:val="32"/>
          <w:szCs w:val="32"/>
          <w:lang w:val="en-US" w:eastAsia="en-US" w:bidi="ar-SA"/>
        </w:rPr>
        <w:t>（2）承办我县党代会的有关具体工作；指导全县各级党组织换届选 举工作；指导领导班子民主生活会；研究和指导全县党内民主建设；负责有关党组织设置事宜；</w:t>
      </w:r>
    </w:p>
    <w:p>
      <w:pPr>
        <w:pStyle w:val="2"/>
        <w:keepNext w:val="0"/>
        <w:keepLines w:val="0"/>
        <w:pageBreakBefore w:val="0"/>
        <w:widowControl w:val="0"/>
        <w:kinsoku/>
        <w:wordWrap/>
        <w:overflowPunct/>
        <w:topLinePunct w:val="0"/>
        <w:bidi w:val="0"/>
        <w:snapToGrid/>
        <w:spacing w:before="223" w:line="576" w:lineRule="exact"/>
        <w:ind w:left="20" w:right="13" w:firstLine="558"/>
        <w:jc w:val="both"/>
        <w:textAlignment w:val="auto"/>
        <w:rPr>
          <w:rFonts w:hint="eastAsia" w:ascii="仿宋_GB2312" w:hAnsi="Arial" w:eastAsia="仿宋_GB2312" w:cs="Arial"/>
          <w:snapToGrid w:val="0"/>
          <w:color w:val="000000"/>
          <w:kern w:val="0"/>
          <w:sz w:val="32"/>
          <w:szCs w:val="32"/>
          <w:lang w:val="en-US" w:eastAsia="en-US" w:bidi="ar-SA"/>
        </w:rPr>
      </w:pPr>
      <w:r>
        <w:rPr>
          <w:rFonts w:hint="eastAsia" w:ascii="仿宋_GB2312" w:hAnsi="Arial" w:eastAsia="仿宋_GB2312" w:cs="Arial"/>
          <w:snapToGrid w:val="0"/>
          <w:color w:val="000000"/>
          <w:kern w:val="0"/>
          <w:sz w:val="32"/>
          <w:szCs w:val="32"/>
          <w:lang w:val="en-US" w:eastAsia="en-US" w:bidi="ar-SA"/>
        </w:rPr>
        <w:t>（3）主管党员的管理和发展工作；研究和提出全县党员队伍建设的 政策规定；负责全县党员教育管理，研究和指导全县党员发展工作；负责全县农村党员干部现代远程教育和党员电化教育工作；</w:t>
      </w:r>
    </w:p>
    <w:p>
      <w:pPr>
        <w:pStyle w:val="2"/>
        <w:keepNext w:val="0"/>
        <w:keepLines w:val="0"/>
        <w:pageBreakBefore w:val="0"/>
        <w:widowControl w:val="0"/>
        <w:kinsoku/>
        <w:wordWrap/>
        <w:overflowPunct/>
        <w:topLinePunct w:val="0"/>
        <w:bidi w:val="0"/>
        <w:snapToGrid/>
        <w:spacing w:before="224" w:line="576" w:lineRule="exact"/>
        <w:ind w:right="13" w:firstLine="640" w:firstLineChars="200"/>
        <w:jc w:val="left"/>
        <w:textAlignment w:val="auto"/>
        <w:rPr>
          <w:rFonts w:hint="eastAsia" w:ascii="仿宋_GB2312" w:hAnsi="Arial" w:eastAsia="仿宋_GB2312" w:cs="Arial"/>
          <w:snapToGrid w:val="0"/>
          <w:color w:val="000000"/>
          <w:kern w:val="0"/>
          <w:sz w:val="32"/>
          <w:szCs w:val="32"/>
          <w:lang w:val="en-US" w:eastAsia="en-US" w:bidi="ar-SA"/>
        </w:rPr>
      </w:pPr>
      <w:r>
        <w:rPr>
          <w:rFonts w:hint="eastAsia" w:ascii="仿宋_GB2312" w:hAnsi="Arial" w:eastAsia="仿宋_GB2312" w:cs="Arial"/>
          <w:snapToGrid w:val="0"/>
          <w:color w:val="000000"/>
          <w:kern w:val="0"/>
          <w:sz w:val="32"/>
          <w:szCs w:val="32"/>
          <w:lang w:val="en-US" w:eastAsia="en-US" w:bidi="ar-SA"/>
        </w:rPr>
        <w:t>（4）贯彻执行党的干部路线、方针、政策；负责全县领导班子和干部队伍建设的宏观管理和综合协调工作；研究和指导领导班子及成员组织、思想、作风建设；贯彻执行干部队伍建设的政策规定，推进干部人事制度改革；</w:t>
      </w:r>
    </w:p>
    <w:p>
      <w:pPr>
        <w:pStyle w:val="2"/>
        <w:keepNext w:val="0"/>
        <w:keepLines w:val="0"/>
        <w:pageBreakBefore w:val="0"/>
        <w:widowControl w:val="0"/>
        <w:kinsoku/>
        <w:wordWrap/>
        <w:overflowPunct/>
        <w:topLinePunct w:val="0"/>
        <w:bidi w:val="0"/>
        <w:snapToGrid/>
        <w:spacing w:before="223" w:line="576" w:lineRule="exact"/>
        <w:ind w:left="18" w:right="93" w:firstLine="559"/>
        <w:jc w:val="left"/>
        <w:textAlignment w:val="auto"/>
        <w:rPr>
          <w:rFonts w:hint="eastAsia" w:ascii="仿宋_GB2312" w:hAnsi="Arial" w:eastAsia="仿宋_GB2312" w:cs="Arial"/>
          <w:snapToGrid w:val="0"/>
          <w:color w:val="000000"/>
          <w:kern w:val="0"/>
          <w:sz w:val="32"/>
          <w:szCs w:val="32"/>
          <w:lang w:val="en-US" w:eastAsia="en-US" w:bidi="ar-SA"/>
        </w:rPr>
      </w:pPr>
      <w:r>
        <w:rPr>
          <w:rFonts w:hint="eastAsia" w:ascii="仿宋_GB2312" w:hAnsi="Arial" w:eastAsia="仿宋_GB2312" w:cs="Arial"/>
          <w:snapToGrid w:val="0"/>
          <w:color w:val="000000"/>
          <w:kern w:val="0"/>
          <w:sz w:val="32"/>
          <w:szCs w:val="32"/>
          <w:lang w:val="en-US" w:eastAsia="en-US" w:bidi="ar-SA"/>
        </w:rPr>
        <w:t>（5）考察乡（科）级领导班子、领导干部，提出调整、配备的意见 和建议；办理县委、县政府管理干部的任免、交流、待遇、退（离）休 审批等事项；指导乡（科）级领导班子建设；负责国有企业领导班子和</w:t>
      </w:r>
    </w:p>
    <w:p>
      <w:pPr>
        <w:pStyle w:val="2"/>
        <w:keepNext w:val="0"/>
        <w:keepLines w:val="0"/>
        <w:pageBreakBefore w:val="0"/>
        <w:widowControl w:val="0"/>
        <w:kinsoku/>
        <w:wordWrap/>
        <w:overflowPunct/>
        <w:topLinePunct w:val="0"/>
        <w:bidi w:val="0"/>
        <w:snapToGrid/>
        <w:spacing w:before="1" w:line="576" w:lineRule="exact"/>
        <w:textAlignment w:val="auto"/>
        <w:rPr>
          <w:rFonts w:hint="eastAsia" w:ascii="仿宋_GB2312" w:hAnsi="Arial" w:eastAsia="仿宋_GB2312" w:cs="Arial"/>
          <w:snapToGrid w:val="0"/>
          <w:color w:val="000000"/>
          <w:kern w:val="0"/>
          <w:sz w:val="32"/>
          <w:szCs w:val="32"/>
          <w:lang w:val="en-US" w:eastAsia="en-US" w:bidi="ar-SA"/>
        </w:rPr>
      </w:pPr>
      <w:r>
        <w:rPr>
          <w:rFonts w:hint="eastAsia" w:ascii="仿宋_GB2312" w:hAnsi="Arial" w:eastAsia="仿宋_GB2312" w:cs="Arial"/>
          <w:snapToGrid w:val="0"/>
          <w:color w:val="000000"/>
          <w:kern w:val="0"/>
          <w:sz w:val="32"/>
          <w:szCs w:val="32"/>
          <w:lang w:val="en-US" w:eastAsia="en-US" w:bidi="ar-SA"/>
        </w:rPr>
        <w:t>领导干部的管理工作；协助管理驻县中（区）直单位科级领导班子；</w:t>
      </w:r>
    </w:p>
    <w:p>
      <w:pPr>
        <w:pStyle w:val="2"/>
        <w:keepNext w:val="0"/>
        <w:keepLines w:val="0"/>
        <w:pageBreakBefore w:val="0"/>
        <w:widowControl w:val="0"/>
        <w:kinsoku/>
        <w:wordWrap/>
        <w:overflowPunct/>
        <w:topLinePunct w:val="0"/>
        <w:bidi w:val="0"/>
        <w:snapToGrid/>
        <w:spacing w:before="226" w:line="576" w:lineRule="exact"/>
        <w:ind w:firstLine="640" w:firstLineChars="200"/>
        <w:jc w:val="left"/>
        <w:textAlignment w:val="auto"/>
        <w:rPr>
          <w:rFonts w:hint="eastAsia" w:ascii="仿宋_GB2312" w:hAnsi="Arial" w:eastAsia="仿宋_GB2312" w:cs="Arial"/>
          <w:snapToGrid w:val="0"/>
          <w:color w:val="000000"/>
          <w:kern w:val="0"/>
          <w:sz w:val="32"/>
          <w:szCs w:val="32"/>
          <w:lang w:val="en-US" w:eastAsia="en-US" w:bidi="ar-SA"/>
        </w:rPr>
      </w:pPr>
      <w:r>
        <w:rPr>
          <w:rFonts w:hint="eastAsia" w:ascii="仿宋_GB2312" w:hAnsi="Arial" w:eastAsia="仿宋_GB2312" w:cs="Arial"/>
          <w:snapToGrid w:val="0"/>
          <w:color w:val="000000"/>
          <w:kern w:val="0"/>
          <w:sz w:val="32"/>
          <w:szCs w:val="32"/>
          <w:lang w:val="en-US" w:eastAsia="en-US" w:bidi="ar-SA"/>
        </w:rPr>
        <w:t>（6）综合管理培养选拔优秀中青年干部、后备干部、少数民族干部、妇女干部和党外干部工作，协调做好干部挂职锻炼工作；</w:t>
      </w:r>
    </w:p>
    <w:p>
      <w:pPr>
        <w:pStyle w:val="2"/>
        <w:keepNext w:val="0"/>
        <w:keepLines w:val="0"/>
        <w:pageBreakBefore w:val="0"/>
        <w:widowControl w:val="0"/>
        <w:kinsoku/>
        <w:wordWrap/>
        <w:overflowPunct/>
        <w:topLinePunct w:val="0"/>
        <w:bidi w:val="0"/>
        <w:snapToGrid/>
        <w:spacing w:before="225" w:line="576" w:lineRule="exact"/>
        <w:ind w:left="20" w:right="19" w:firstLine="558"/>
        <w:textAlignment w:val="auto"/>
        <w:rPr>
          <w:rFonts w:hint="eastAsia" w:ascii="仿宋_GB2312" w:hAnsi="Arial" w:eastAsia="仿宋_GB2312" w:cs="Arial"/>
          <w:snapToGrid w:val="0"/>
          <w:color w:val="000000"/>
          <w:kern w:val="0"/>
          <w:sz w:val="32"/>
          <w:szCs w:val="32"/>
          <w:lang w:val="en-US" w:eastAsia="en-US" w:bidi="ar-SA"/>
        </w:rPr>
      </w:pPr>
      <w:r>
        <w:rPr>
          <w:rFonts w:hint="eastAsia" w:ascii="仿宋_GB2312" w:hAnsi="Arial" w:eastAsia="仿宋_GB2312" w:cs="Arial"/>
          <w:snapToGrid w:val="0"/>
          <w:color w:val="000000"/>
          <w:kern w:val="0"/>
          <w:sz w:val="32"/>
          <w:szCs w:val="32"/>
          <w:lang w:val="en-US" w:eastAsia="en-US" w:bidi="ar-SA"/>
        </w:rPr>
        <w:t>（7）拟订干部监督、审查的有关规定，负责县委管理干部的监督、 审查工作；防止和纠正选人用人上的不正之风；负责管理全县干部的档 案工作；负责县管干部因公出国（境）和党员因私出国（境）的政审工作；</w:t>
      </w:r>
    </w:p>
    <w:p>
      <w:pPr>
        <w:pStyle w:val="2"/>
        <w:keepNext w:val="0"/>
        <w:keepLines w:val="0"/>
        <w:pageBreakBefore w:val="0"/>
        <w:widowControl w:val="0"/>
        <w:kinsoku/>
        <w:wordWrap/>
        <w:overflowPunct/>
        <w:topLinePunct w:val="0"/>
        <w:bidi w:val="0"/>
        <w:snapToGrid/>
        <w:spacing w:before="226" w:line="576" w:lineRule="exact"/>
        <w:ind w:right="73" w:firstLine="640" w:firstLineChars="200"/>
        <w:jc w:val="left"/>
        <w:textAlignment w:val="auto"/>
        <w:rPr>
          <w:rFonts w:hint="eastAsia" w:ascii="仿宋_GB2312" w:hAnsi="Arial" w:eastAsia="仿宋_GB2312" w:cs="Arial"/>
          <w:snapToGrid w:val="0"/>
          <w:color w:val="000000"/>
          <w:kern w:val="0"/>
          <w:sz w:val="32"/>
          <w:szCs w:val="32"/>
          <w:lang w:val="en-US" w:eastAsia="en-US" w:bidi="ar-SA"/>
        </w:rPr>
      </w:pPr>
      <w:r>
        <w:rPr>
          <w:rFonts w:hint="eastAsia" w:ascii="仿宋_GB2312" w:hAnsi="Arial" w:eastAsia="仿宋_GB2312" w:cs="Arial"/>
          <w:snapToGrid w:val="0"/>
          <w:color w:val="000000"/>
          <w:kern w:val="0"/>
          <w:sz w:val="32"/>
          <w:szCs w:val="32"/>
          <w:lang w:val="en-US" w:eastAsia="en-US" w:bidi="ar-SA"/>
        </w:rPr>
        <w:t>（8）贯彻执行公务员管理的有关政策规定；负责公务员的奖励、惩戒、培训工作；</w:t>
      </w:r>
    </w:p>
    <w:p>
      <w:pPr>
        <w:pStyle w:val="2"/>
        <w:keepNext w:val="0"/>
        <w:keepLines w:val="0"/>
        <w:pageBreakBefore w:val="0"/>
        <w:widowControl w:val="0"/>
        <w:kinsoku/>
        <w:wordWrap/>
        <w:overflowPunct/>
        <w:topLinePunct w:val="0"/>
        <w:bidi w:val="0"/>
        <w:snapToGrid/>
        <w:spacing w:before="226" w:line="576" w:lineRule="exact"/>
        <w:ind w:left="20" w:right="93" w:firstLine="558"/>
        <w:textAlignment w:val="auto"/>
        <w:rPr>
          <w:rFonts w:hint="eastAsia" w:ascii="仿宋_GB2312" w:hAnsi="Arial" w:eastAsia="仿宋_GB2312" w:cs="Arial"/>
          <w:snapToGrid w:val="0"/>
          <w:color w:val="000000"/>
          <w:kern w:val="0"/>
          <w:sz w:val="32"/>
          <w:szCs w:val="32"/>
          <w:lang w:val="en-US" w:eastAsia="en-US" w:bidi="ar-SA"/>
        </w:rPr>
      </w:pPr>
      <w:r>
        <w:rPr>
          <w:rFonts w:hint="eastAsia" w:ascii="仿宋_GB2312" w:hAnsi="Arial" w:eastAsia="仿宋_GB2312" w:cs="Arial"/>
          <w:snapToGrid w:val="0"/>
          <w:color w:val="000000"/>
          <w:kern w:val="0"/>
          <w:sz w:val="32"/>
          <w:szCs w:val="32"/>
          <w:lang w:val="en-US" w:eastAsia="en-US" w:bidi="ar-SA"/>
        </w:rPr>
        <w:t>（9）负责全县干部教育培训工作；贯彻落实中央、自治区、市和我 县干部教育培训有关政策规定，研究制定和落实干部教育培训规划；负 责中央、 自治区、市党校和行政学院（校）等有关培训机构举办的相关 班次的学员调训；争取对口支援省市的大力支持，利用其优势培训资源 抓好干部教育培训工作；负责对全县干部教育培训工作的指导、协调和 检查，指导、协调干部培训基地、师资队伍和教材建设等工作；完善干部教育培训制度；</w:t>
      </w:r>
    </w:p>
    <w:p>
      <w:pPr>
        <w:pStyle w:val="2"/>
        <w:keepNext w:val="0"/>
        <w:keepLines w:val="0"/>
        <w:pageBreakBefore w:val="0"/>
        <w:widowControl w:val="0"/>
        <w:kinsoku/>
        <w:wordWrap/>
        <w:overflowPunct/>
        <w:topLinePunct w:val="0"/>
        <w:bidi w:val="0"/>
        <w:snapToGrid/>
        <w:spacing w:before="226" w:line="576" w:lineRule="exact"/>
        <w:ind w:left="20" w:right="93" w:firstLine="558"/>
        <w:textAlignment w:val="auto"/>
        <w:rPr>
          <w:rFonts w:hint="eastAsia" w:ascii="仿宋_GB2312" w:hAnsi="Arial" w:eastAsia="仿宋_GB2312" w:cs="Arial"/>
          <w:snapToGrid w:val="0"/>
          <w:color w:val="000000"/>
          <w:kern w:val="0"/>
          <w:sz w:val="32"/>
          <w:szCs w:val="32"/>
          <w:lang w:val="en-US" w:eastAsia="en-US" w:bidi="ar-SA"/>
        </w:rPr>
      </w:pPr>
      <w:r>
        <w:rPr>
          <w:rFonts w:hint="eastAsia" w:ascii="仿宋_GB2312" w:hAnsi="Arial" w:eastAsia="仿宋_GB2312" w:cs="Arial"/>
          <w:snapToGrid w:val="0"/>
          <w:color w:val="000000"/>
          <w:kern w:val="0"/>
          <w:sz w:val="32"/>
          <w:szCs w:val="32"/>
          <w:lang w:val="en-US" w:eastAsia="en-US" w:bidi="ar-SA"/>
        </w:rPr>
        <w:t>（10）贯彻落实中央、自治区、市和我县关于人才工作的方针政策； 拟订并协调落实人才队伍建设规划，提出加强人才工作和人才队伍建设的意见和建议。负责全县人才工作的宏观管理、综合协调、检查指导；制定或参与制定、完善全县人才工作政策、规定，并对贯彻执行情况进行督促检查；</w:t>
      </w:r>
    </w:p>
    <w:p>
      <w:pPr>
        <w:pStyle w:val="2"/>
        <w:keepNext w:val="0"/>
        <w:keepLines w:val="0"/>
        <w:pageBreakBefore w:val="0"/>
        <w:widowControl w:val="0"/>
        <w:kinsoku/>
        <w:wordWrap/>
        <w:overflowPunct/>
        <w:topLinePunct w:val="0"/>
        <w:bidi w:val="0"/>
        <w:snapToGrid/>
        <w:spacing w:before="224" w:line="576" w:lineRule="exact"/>
        <w:ind w:right="77" w:firstLine="640" w:firstLineChars="200"/>
        <w:jc w:val="left"/>
        <w:textAlignment w:val="auto"/>
        <w:rPr>
          <w:rFonts w:hint="eastAsia" w:ascii="仿宋_GB2312" w:hAnsi="Arial" w:eastAsia="仿宋_GB2312" w:cs="Arial"/>
          <w:snapToGrid w:val="0"/>
          <w:color w:val="000000"/>
          <w:kern w:val="0"/>
          <w:sz w:val="32"/>
          <w:szCs w:val="32"/>
          <w:lang w:val="en-US" w:eastAsia="en-US" w:bidi="ar-SA"/>
        </w:rPr>
      </w:pPr>
      <w:r>
        <w:rPr>
          <w:rFonts w:hint="eastAsia" w:ascii="仿宋_GB2312" w:hAnsi="Arial" w:eastAsia="仿宋_GB2312" w:cs="Arial"/>
          <w:snapToGrid w:val="0"/>
          <w:color w:val="000000"/>
          <w:kern w:val="0"/>
          <w:sz w:val="32"/>
          <w:szCs w:val="32"/>
          <w:lang w:val="en-US" w:eastAsia="en-US" w:bidi="ar-SA"/>
        </w:rPr>
        <w:t>（11）贯彻党和国家的知识分子政策，负责拟订知识分子工作的有关政策规定，指导全县知识分子工作；</w:t>
      </w:r>
    </w:p>
    <w:p>
      <w:pPr>
        <w:pStyle w:val="2"/>
        <w:keepNext w:val="0"/>
        <w:keepLines w:val="0"/>
        <w:pageBreakBefore w:val="0"/>
        <w:widowControl w:val="0"/>
        <w:kinsoku/>
        <w:wordWrap/>
        <w:overflowPunct/>
        <w:topLinePunct w:val="0"/>
        <w:bidi w:val="0"/>
        <w:snapToGrid/>
        <w:spacing w:before="225" w:line="576" w:lineRule="exact"/>
        <w:ind w:left="22" w:right="77" w:firstLine="556"/>
        <w:textAlignment w:val="auto"/>
        <w:rPr>
          <w:rFonts w:hint="eastAsia" w:ascii="仿宋_GB2312" w:hAnsi="Arial" w:eastAsia="仿宋_GB2312" w:cs="Arial"/>
          <w:snapToGrid w:val="0"/>
          <w:color w:val="000000"/>
          <w:kern w:val="0"/>
          <w:sz w:val="32"/>
          <w:szCs w:val="32"/>
          <w:lang w:val="en-US" w:eastAsia="en-US" w:bidi="ar-SA"/>
        </w:rPr>
      </w:pPr>
      <w:r>
        <w:rPr>
          <w:rFonts w:hint="eastAsia" w:ascii="仿宋_GB2312" w:hAnsi="Arial" w:eastAsia="仿宋_GB2312" w:cs="Arial"/>
          <w:snapToGrid w:val="0"/>
          <w:color w:val="000000"/>
          <w:kern w:val="0"/>
          <w:sz w:val="32"/>
          <w:szCs w:val="32"/>
          <w:lang w:val="en-US" w:eastAsia="en-US" w:bidi="ar-SA"/>
        </w:rPr>
        <w:t>（12）贯彻执行中央、 自治区和市关于行政管理体制改革、机构改 革和机构编制管理的方针政策、法律法规，负责拟订并组织实施全县各 级行政管理体制、机构改革总体方案和机构编制管理办法，指导监督全县各级行政管理体制改革、机构改革和机构编制管理工作；</w:t>
      </w:r>
    </w:p>
    <w:p>
      <w:pPr>
        <w:pStyle w:val="2"/>
        <w:keepNext w:val="0"/>
        <w:keepLines w:val="0"/>
        <w:pageBreakBefore w:val="0"/>
        <w:widowControl w:val="0"/>
        <w:kinsoku/>
        <w:wordWrap/>
        <w:overflowPunct/>
        <w:topLinePunct w:val="0"/>
        <w:bidi w:val="0"/>
        <w:snapToGrid/>
        <w:spacing w:before="224" w:line="576" w:lineRule="exact"/>
        <w:ind w:right="77" w:firstLine="640" w:firstLineChars="200"/>
        <w:jc w:val="left"/>
        <w:textAlignment w:val="auto"/>
        <w:rPr>
          <w:rFonts w:hint="eastAsia" w:ascii="仿宋_GB2312" w:hAnsi="Arial" w:eastAsia="仿宋_GB2312" w:cs="Arial"/>
          <w:snapToGrid w:val="0"/>
          <w:color w:val="000000"/>
          <w:kern w:val="0"/>
          <w:sz w:val="32"/>
          <w:szCs w:val="32"/>
          <w:lang w:val="en-US" w:eastAsia="en-US" w:bidi="ar-SA"/>
        </w:rPr>
      </w:pPr>
      <w:r>
        <w:rPr>
          <w:rFonts w:hint="eastAsia" w:ascii="仿宋_GB2312" w:hAnsi="Arial" w:eastAsia="仿宋_GB2312" w:cs="Arial"/>
          <w:snapToGrid w:val="0"/>
          <w:color w:val="000000"/>
          <w:kern w:val="0"/>
          <w:sz w:val="32"/>
          <w:szCs w:val="32"/>
          <w:lang w:val="en-US" w:eastAsia="en-US" w:bidi="ar-SA"/>
        </w:rPr>
        <w:t>（13）统一管理我县各级党委、人大、政府、政协、法院、检察院机关，各人民团体和群众团体的机构编制工作；</w:t>
      </w:r>
    </w:p>
    <w:p>
      <w:pPr>
        <w:pStyle w:val="2"/>
        <w:keepNext w:val="0"/>
        <w:keepLines w:val="0"/>
        <w:pageBreakBefore w:val="0"/>
        <w:widowControl w:val="0"/>
        <w:kinsoku/>
        <w:wordWrap/>
        <w:overflowPunct/>
        <w:topLinePunct w:val="0"/>
        <w:bidi w:val="0"/>
        <w:snapToGrid/>
        <w:spacing w:before="224" w:line="576" w:lineRule="exact"/>
        <w:ind w:right="77" w:firstLine="640" w:firstLineChars="200"/>
        <w:jc w:val="left"/>
        <w:textAlignment w:val="auto"/>
        <w:rPr>
          <w:rFonts w:hint="eastAsia" w:ascii="仿宋_GB2312" w:hAnsi="Arial" w:eastAsia="仿宋_GB2312" w:cs="Arial"/>
          <w:snapToGrid w:val="0"/>
          <w:color w:val="000000"/>
          <w:kern w:val="0"/>
          <w:sz w:val="32"/>
          <w:szCs w:val="32"/>
          <w:lang w:val="en-US" w:eastAsia="en-US" w:bidi="ar-SA"/>
        </w:rPr>
      </w:pPr>
      <w:r>
        <w:rPr>
          <w:rFonts w:hint="eastAsia" w:ascii="仿宋_GB2312" w:hAnsi="Arial" w:eastAsia="仿宋_GB2312" w:cs="Arial"/>
          <w:snapToGrid w:val="0"/>
          <w:color w:val="000000"/>
          <w:kern w:val="0"/>
          <w:sz w:val="32"/>
          <w:szCs w:val="32"/>
          <w:lang w:val="en-US" w:eastAsia="en-US" w:bidi="ar-SA"/>
        </w:rPr>
        <w:t>（14）审核县委、政府各部门的职能配置，协调县委、政府各部门之间以及各部门与乡（镇）之间的职责分工；</w:t>
      </w:r>
    </w:p>
    <w:p>
      <w:pPr>
        <w:pStyle w:val="2"/>
        <w:keepNext w:val="0"/>
        <w:keepLines w:val="0"/>
        <w:pageBreakBefore w:val="0"/>
        <w:widowControl w:val="0"/>
        <w:kinsoku/>
        <w:wordWrap/>
        <w:overflowPunct/>
        <w:topLinePunct w:val="0"/>
        <w:bidi w:val="0"/>
        <w:snapToGrid/>
        <w:spacing w:before="225" w:line="576" w:lineRule="exact"/>
        <w:ind w:firstLine="640" w:firstLineChars="200"/>
        <w:textAlignment w:val="auto"/>
        <w:rPr>
          <w:rFonts w:hint="eastAsia" w:ascii="仿宋_GB2312" w:hAnsi="Arial" w:eastAsia="仿宋_GB2312" w:cs="Arial"/>
          <w:snapToGrid w:val="0"/>
          <w:color w:val="000000"/>
          <w:kern w:val="0"/>
          <w:sz w:val="32"/>
          <w:szCs w:val="32"/>
          <w:lang w:val="en-US" w:eastAsia="en-US" w:bidi="ar-SA"/>
        </w:rPr>
      </w:pPr>
      <w:r>
        <w:rPr>
          <w:rFonts w:hint="eastAsia" w:ascii="仿宋_GB2312" w:hAnsi="Arial" w:eastAsia="仿宋_GB2312" w:cs="Arial"/>
          <w:snapToGrid w:val="0"/>
          <w:color w:val="000000"/>
          <w:kern w:val="0"/>
          <w:sz w:val="32"/>
          <w:szCs w:val="32"/>
          <w:lang w:val="en-US" w:eastAsia="en-US" w:bidi="ar-SA"/>
        </w:rPr>
        <w:t>（15）审核全县各级各部门机构设置、人员编制和领导职数；</w:t>
      </w:r>
    </w:p>
    <w:p>
      <w:pPr>
        <w:pStyle w:val="2"/>
        <w:keepNext w:val="0"/>
        <w:keepLines w:val="0"/>
        <w:pageBreakBefore w:val="0"/>
        <w:widowControl w:val="0"/>
        <w:kinsoku/>
        <w:wordWrap/>
        <w:overflowPunct/>
        <w:topLinePunct w:val="0"/>
        <w:bidi w:val="0"/>
        <w:snapToGrid/>
        <w:spacing w:before="222" w:line="576" w:lineRule="exact"/>
        <w:ind w:right="77" w:firstLine="640" w:firstLineChars="200"/>
        <w:jc w:val="left"/>
        <w:textAlignment w:val="auto"/>
        <w:rPr>
          <w:rFonts w:hint="eastAsia" w:ascii="仿宋_GB2312" w:hAnsi="Arial" w:eastAsia="仿宋_GB2312" w:cs="Arial"/>
          <w:snapToGrid w:val="0"/>
          <w:color w:val="000000"/>
          <w:kern w:val="0"/>
          <w:sz w:val="32"/>
          <w:szCs w:val="32"/>
          <w:lang w:val="en-US" w:eastAsia="en-US" w:bidi="ar-SA"/>
        </w:rPr>
      </w:pPr>
      <w:r>
        <w:rPr>
          <w:rFonts w:hint="eastAsia" w:ascii="仿宋_GB2312" w:hAnsi="Arial" w:eastAsia="仿宋_GB2312" w:cs="Arial"/>
          <w:snapToGrid w:val="0"/>
          <w:color w:val="000000"/>
          <w:kern w:val="0"/>
          <w:sz w:val="32"/>
          <w:szCs w:val="32"/>
          <w:lang w:val="en-US" w:eastAsia="en-US" w:bidi="ar-SA"/>
        </w:rPr>
        <w:t>（16）负责县直部门有关规章和规范文件中涉及管理体制、职能任务、机构编制内容的审核工作；</w:t>
      </w:r>
    </w:p>
    <w:p>
      <w:pPr>
        <w:pStyle w:val="2"/>
        <w:keepNext w:val="0"/>
        <w:keepLines w:val="0"/>
        <w:pageBreakBefore w:val="0"/>
        <w:widowControl w:val="0"/>
        <w:kinsoku/>
        <w:wordWrap/>
        <w:overflowPunct/>
        <w:topLinePunct w:val="0"/>
        <w:bidi w:val="0"/>
        <w:snapToGrid/>
        <w:spacing w:before="226" w:line="576" w:lineRule="exact"/>
        <w:ind w:left="24" w:firstLine="554"/>
        <w:textAlignment w:val="auto"/>
        <w:rPr>
          <w:rFonts w:hint="eastAsia" w:ascii="仿宋_GB2312" w:hAnsi="Arial" w:eastAsia="仿宋_GB2312" w:cs="Arial"/>
          <w:snapToGrid w:val="0"/>
          <w:color w:val="000000"/>
          <w:kern w:val="0"/>
          <w:sz w:val="32"/>
          <w:szCs w:val="32"/>
          <w:lang w:val="en-US" w:eastAsia="en-US" w:bidi="ar-SA"/>
        </w:rPr>
      </w:pPr>
      <w:r>
        <w:rPr>
          <w:rFonts w:hint="eastAsia" w:ascii="仿宋_GB2312" w:hAnsi="Arial" w:eastAsia="仿宋_GB2312" w:cs="Arial"/>
          <w:snapToGrid w:val="0"/>
          <w:color w:val="000000"/>
          <w:kern w:val="0"/>
          <w:sz w:val="32"/>
          <w:szCs w:val="32"/>
          <w:lang w:val="en-US" w:eastAsia="en-US" w:bidi="ar-SA"/>
        </w:rPr>
        <w:t>（17）负责拟订全县事业单位管理体制和机构改革总体方案并组织 实施；审核全县各级事业单位的机构编制，管理全县各级事业编制总量；负责全县事业单位登记管理工作；</w:t>
      </w:r>
    </w:p>
    <w:p>
      <w:pPr>
        <w:pStyle w:val="2"/>
        <w:keepNext w:val="0"/>
        <w:keepLines w:val="0"/>
        <w:pageBreakBefore w:val="0"/>
        <w:widowControl w:val="0"/>
        <w:kinsoku/>
        <w:wordWrap/>
        <w:overflowPunct/>
        <w:topLinePunct w:val="0"/>
        <w:bidi w:val="0"/>
        <w:snapToGrid/>
        <w:spacing w:before="228" w:line="576" w:lineRule="exact"/>
        <w:ind w:left="20" w:right="77" w:firstLine="558"/>
        <w:textAlignment w:val="auto"/>
        <w:rPr>
          <w:rFonts w:hint="eastAsia" w:ascii="仿宋_GB2312" w:hAnsi="Arial" w:eastAsia="仿宋_GB2312" w:cs="Arial"/>
          <w:snapToGrid w:val="0"/>
          <w:color w:val="000000"/>
          <w:kern w:val="0"/>
          <w:sz w:val="32"/>
          <w:szCs w:val="32"/>
          <w:lang w:val="en-US" w:eastAsia="en-US" w:bidi="ar-SA"/>
        </w:rPr>
      </w:pPr>
      <w:r>
        <w:rPr>
          <w:rFonts w:hint="eastAsia" w:ascii="仿宋_GB2312" w:hAnsi="Arial" w:eastAsia="仿宋_GB2312" w:cs="Arial"/>
          <w:snapToGrid w:val="0"/>
          <w:color w:val="000000"/>
          <w:kern w:val="0"/>
          <w:sz w:val="32"/>
          <w:szCs w:val="32"/>
          <w:lang w:val="en-US" w:eastAsia="en-US" w:bidi="ar-SA"/>
        </w:rPr>
        <w:t>（18）监督检查全县各级机构编制管理的方针、政策和法规执行情 况；监督检查全县各级行政管理体制改革和机构改革方案以及事业单位 管理体制改革和机构改革方案的执行情况；负责全县机关、事业单位人员总量控制和我县级机构编制实名制管理工作；</w:t>
      </w:r>
    </w:p>
    <w:p>
      <w:pPr>
        <w:pStyle w:val="2"/>
        <w:keepNext w:val="0"/>
        <w:keepLines w:val="0"/>
        <w:pageBreakBefore w:val="0"/>
        <w:widowControl w:val="0"/>
        <w:kinsoku/>
        <w:wordWrap/>
        <w:overflowPunct/>
        <w:topLinePunct w:val="0"/>
        <w:bidi w:val="0"/>
        <w:snapToGrid/>
        <w:spacing w:before="224" w:line="576" w:lineRule="exact"/>
        <w:ind w:firstLine="640" w:firstLineChars="200"/>
        <w:textAlignment w:val="auto"/>
        <w:rPr>
          <w:rFonts w:hint="eastAsia" w:ascii="仿宋_GB2312" w:hAnsi="Arial" w:eastAsia="仿宋_GB2312" w:cs="Arial"/>
          <w:snapToGrid w:val="0"/>
          <w:color w:val="000000"/>
          <w:kern w:val="0"/>
          <w:sz w:val="32"/>
          <w:szCs w:val="32"/>
          <w:lang w:val="en-US" w:eastAsia="en-US" w:bidi="ar-SA"/>
        </w:rPr>
      </w:pPr>
      <w:r>
        <w:rPr>
          <w:rFonts w:hint="eastAsia" w:ascii="仿宋_GB2312" w:hAnsi="Arial" w:eastAsia="仿宋_GB2312" w:cs="Arial"/>
          <w:snapToGrid w:val="0"/>
          <w:color w:val="000000"/>
          <w:kern w:val="0"/>
          <w:sz w:val="32"/>
          <w:szCs w:val="32"/>
          <w:lang w:val="en-US" w:eastAsia="en-US" w:bidi="ar-SA"/>
        </w:rPr>
        <w:t>（19）负责全县组织史、组织志、机构编制志资料收集编写工作；</w:t>
      </w:r>
    </w:p>
    <w:p>
      <w:pPr>
        <w:pStyle w:val="2"/>
        <w:keepNext w:val="0"/>
        <w:keepLines w:val="0"/>
        <w:pageBreakBefore w:val="0"/>
        <w:widowControl w:val="0"/>
        <w:kinsoku/>
        <w:wordWrap/>
        <w:overflowPunct/>
        <w:topLinePunct w:val="0"/>
        <w:bidi w:val="0"/>
        <w:snapToGrid/>
        <w:spacing w:before="224" w:line="576" w:lineRule="exact"/>
        <w:ind w:firstLine="640" w:firstLineChars="200"/>
        <w:textAlignment w:val="auto"/>
        <w:rPr>
          <w:rFonts w:hint="eastAsia" w:ascii="仿宋_GB2312" w:hAnsi="Arial" w:eastAsia="仿宋_GB2312" w:cs="Arial"/>
          <w:snapToGrid w:val="0"/>
          <w:color w:val="000000"/>
          <w:kern w:val="0"/>
          <w:sz w:val="32"/>
          <w:szCs w:val="32"/>
          <w:lang w:val="en-US" w:eastAsia="en-US" w:bidi="ar-SA"/>
        </w:rPr>
      </w:pPr>
      <w:r>
        <w:rPr>
          <w:rFonts w:hint="eastAsia" w:ascii="仿宋_GB2312" w:hAnsi="Arial" w:eastAsia="仿宋_GB2312" w:cs="Arial"/>
          <w:snapToGrid w:val="0"/>
          <w:color w:val="000000"/>
          <w:kern w:val="0"/>
          <w:sz w:val="32"/>
          <w:szCs w:val="32"/>
          <w:lang w:val="en-US" w:eastAsia="en-US" w:bidi="ar-SA"/>
        </w:rPr>
        <w:t>（20）负责管理县委老干部局和县委直属机关工作委员会；</w:t>
      </w:r>
    </w:p>
    <w:p>
      <w:pPr>
        <w:pStyle w:val="2"/>
        <w:keepNext w:val="0"/>
        <w:keepLines w:val="0"/>
        <w:pageBreakBefore w:val="0"/>
        <w:widowControl w:val="0"/>
        <w:kinsoku/>
        <w:wordWrap/>
        <w:overflowPunct/>
        <w:topLinePunct w:val="0"/>
        <w:bidi w:val="0"/>
        <w:snapToGrid/>
        <w:spacing w:before="91" w:line="576" w:lineRule="exact"/>
        <w:ind w:firstLine="640" w:firstLineChars="200"/>
        <w:textAlignment w:val="auto"/>
        <w:rPr>
          <w:rFonts w:ascii="仿宋" w:hAnsi="仿宋" w:eastAsia="仿宋"/>
          <w:sz w:val="32"/>
          <w:szCs w:val="32"/>
        </w:rPr>
      </w:pPr>
      <w:r>
        <w:rPr>
          <w:rFonts w:hint="eastAsia" w:ascii="仿宋_GB2312" w:hAnsi="Arial" w:eastAsia="仿宋_GB2312" w:cs="Arial"/>
          <w:snapToGrid w:val="0"/>
          <w:color w:val="000000"/>
          <w:kern w:val="0"/>
          <w:sz w:val="32"/>
          <w:szCs w:val="32"/>
          <w:lang w:val="en-US" w:eastAsia="en-US" w:bidi="ar-SA"/>
        </w:rPr>
        <w:t>（21）承办县委、县机构编制委员会交办的其他工作。</w:t>
      </w:r>
    </w:p>
    <w:p>
      <w:pPr>
        <w:rPr>
          <w:rFonts w:ascii="黑体" w:hAnsi="黑体" w:eastAsia="黑体"/>
          <w:sz w:val="32"/>
          <w:szCs w:val="32"/>
        </w:rPr>
      </w:pPr>
      <w:r>
        <w:rPr>
          <w:rFonts w:hint="eastAsia" w:ascii="黑体" w:hAnsi="黑体" w:eastAsia="黑体"/>
          <w:sz w:val="32"/>
          <w:szCs w:val="32"/>
        </w:rPr>
        <w:t>二、部门（单位）机构设置</w:t>
      </w:r>
      <w:r>
        <w:rPr>
          <w:rFonts w:ascii="黑体" w:hAnsi="黑体" w:eastAsia="黑体"/>
          <w:sz w:val="32"/>
          <w:szCs w:val="32"/>
        </w:rPr>
        <w:t>情况</w:t>
      </w:r>
    </w:p>
    <w:p>
      <w:pPr>
        <w:ind w:firstLine="640" w:firstLineChars="200"/>
        <w:rPr>
          <w:rFonts w:ascii="仿宋" w:hAnsi="仿宋" w:eastAsia="仿宋"/>
          <w:sz w:val="32"/>
          <w:szCs w:val="32"/>
        </w:rPr>
      </w:pPr>
      <w:r>
        <w:rPr>
          <w:rFonts w:hint="eastAsia" w:ascii="仿宋_GB2312" w:hAnsi="Arial" w:eastAsia="仿宋_GB2312" w:cs="Arial"/>
          <w:snapToGrid w:val="0"/>
          <w:color w:val="000000"/>
          <w:kern w:val="0"/>
          <w:sz w:val="32"/>
          <w:szCs w:val="32"/>
          <w:lang w:val="en-US" w:eastAsia="en-US" w:bidi="ar-SA"/>
        </w:rPr>
        <w:t>中国共产党工布江达县委员会组织部内设机构包括：编办、综合办、公务员局、档案室、驻村办、老干部局、县直机关工委、县委党校、电子政务中心。</w:t>
      </w: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eastAsia="zh-CN"/>
        </w:rPr>
        <w:t>中国共产党工布江达县委员会组织部</w:t>
      </w:r>
      <w:r>
        <w:rPr>
          <w:rFonts w:hint="eastAsia" w:ascii="方正小标宋简体" w:hAnsi="仿宋" w:eastAsia="方正小标宋简体"/>
          <w:sz w:val="32"/>
          <w:szCs w:val="32"/>
        </w:rPr>
        <w:t>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numPr>
          <w:ilvl w:val="0"/>
          <w:numId w:val="1"/>
        </w:numPr>
        <w:rPr>
          <w:rFonts w:hint="eastAsia" w:ascii="仿宋" w:hAnsi="仿宋" w:eastAsia="仿宋" w:cs="Times New Roman"/>
          <w:kern w:val="2"/>
          <w:sz w:val="32"/>
          <w:szCs w:val="32"/>
          <w:lang w:val="en-US" w:eastAsia="zh-CN" w:bidi="ar-SA"/>
        </w:rPr>
      </w:pPr>
      <w:r>
        <w:rPr>
          <w:rFonts w:hint="eastAsia" w:ascii="仿宋" w:hAnsi="仿宋" w:eastAsia="仿宋" w:cs="Times New Roman"/>
          <w:kern w:val="2"/>
          <w:sz w:val="32"/>
          <w:szCs w:val="32"/>
          <w:lang w:val="en-US" w:eastAsia="zh-CN" w:bidi="ar-SA"/>
        </w:rPr>
        <w:t>财政拨款收支总表</w:t>
      </w:r>
    </w:p>
    <w:p>
      <w:pPr>
        <w:numPr>
          <w:ilvl w:val="0"/>
          <w:numId w:val="1"/>
        </w:numPr>
        <w:rPr>
          <w:rFonts w:hint="eastAsia" w:ascii="仿宋" w:hAnsi="仿宋" w:eastAsia="仿宋" w:cs="Times New Roman"/>
          <w:kern w:val="2"/>
          <w:sz w:val="32"/>
          <w:szCs w:val="32"/>
          <w:lang w:val="en-US" w:eastAsia="zh-CN" w:bidi="ar-SA"/>
        </w:rPr>
      </w:pPr>
      <w:r>
        <w:rPr>
          <w:rFonts w:hint="eastAsia" w:ascii="仿宋" w:hAnsi="仿宋" w:eastAsia="仿宋" w:cs="Times New Roman"/>
          <w:kern w:val="2"/>
          <w:sz w:val="32"/>
          <w:szCs w:val="32"/>
          <w:lang w:val="en-US" w:eastAsia="zh-CN" w:bidi="ar-SA"/>
        </w:rPr>
        <w:t>财政拨款收入总表</w:t>
      </w:r>
    </w:p>
    <w:p>
      <w:pPr>
        <w:pStyle w:val="2"/>
        <w:numPr>
          <w:ilvl w:val="0"/>
          <w:numId w:val="1"/>
        </w:numPr>
        <w:ind w:left="0" w:leftChars="0" w:firstLine="0" w:firstLineChars="0"/>
        <w:rPr>
          <w:rFonts w:hint="eastAsia" w:ascii="仿宋" w:hAnsi="仿宋" w:eastAsia="仿宋" w:cs="Times New Roman"/>
          <w:kern w:val="2"/>
          <w:sz w:val="32"/>
          <w:szCs w:val="32"/>
          <w:lang w:val="en-US" w:eastAsia="zh-CN" w:bidi="ar-SA"/>
        </w:rPr>
      </w:pPr>
      <w:r>
        <w:rPr>
          <w:rFonts w:hint="eastAsia" w:ascii="仿宋" w:hAnsi="仿宋" w:eastAsia="仿宋" w:cs="Times New Roman"/>
          <w:kern w:val="2"/>
          <w:sz w:val="32"/>
          <w:szCs w:val="32"/>
          <w:lang w:val="en-US" w:eastAsia="zh-CN" w:bidi="ar-SA"/>
        </w:rPr>
        <w:t>财政拨款支出总表</w:t>
      </w:r>
    </w:p>
    <w:p>
      <w:pPr>
        <w:pStyle w:val="2"/>
        <w:numPr>
          <w:ilvl w:val="0"/>
          <w:numId w:val="1"/>
        </w:numPr>
        <w:ind w:left="0" w:leftChars="0" w:firstLine="0" w:firstLineChars="0"/>
        <w:rPr>
          <w:rFonts w:hint="eastAsia" w:ascii="仿宋" w:hAnsi="仿宋" w:eastAsia="仿宋" w:cs="Times New Roman"/>
          <w:kern w:val="2"/>
          <w:sz w:val="32"/>
          <w:szCs w:val="32"/>
          <w:lang w:val="en-US" w:eastAsia="zh-CN" w:bidi="ar-SA"/>
        </w:rPr>
      </w:pPr>
      <w:r>
        <w:rPr>
          <w:rFonts w:hint="eastAsia" w:ascii="仿宋" w:hAnsi="仿宋" w:eastAsia="仿宋" w:cs="Times New Roman"/>
          <w:kern w:val="2"/>
          <w:sz w:val="32"/>
          <w:szCs w:val="32"/>
          <w:lang w:val="en-US" w:eastAsia="zh-CN" w:bidi="ar-SA"/>
        </w:rPr>
        <w:t>财政拨款总表</w:t>
      </w:r>
    </w:p>
    <w:p>
      <w:pPr>
        <w:pStyle w:val="2"/>
        <w:numPr>
          <w:ilvl w:val="0"/>
          <w:numId w:val="1"/>
        </w:numPr>
        <w:ind w:left="0" w:leftChars="0" w:firstLine="0" w:firstLineChars="0"/>
        <w:rPr>
          <w:rFonts w:hint="eastAsia" w:ascii="仿宋" w:hAnsi="仿宋" w:eastAsia="仿宋" w:cs="Times New Roman"/>
          <w:kern w:val="2"/>
          <w:sz w:val="32"/>
          <w:szCs w:val="32"/>
          <w:lang w:val="en-US" w:eastAsia="zh-CN" w:bidi="ar-SA"/>
        </w:rPr>
      </w:pPr>
      <w:r>
        <w:rPr>
          <w:rFonts w:hint="eastAsia" w:ascii="仿宋" w:hAnsi="仿宋" w:eastAsia="仿宋" w:cs="Times New Roman"/>
          <w:kern w:val="2"/>
          <w:sz w:val="32"/>
          <w:szCs w:val="32"/>
          <w:lang w:val="en-US" w:eastAsia="zh-CN" w:bidi="ar-SA"/>
        </w:rPr>
        <w:t>一般公共预算收支总表</w:t>
      </w:r>
    </w:p>
    <w:p>
      <w:pPr>
        <w:pStyle w:val="2"/>
        <w:numPr>
          <w:ilvl w:val="0"/>
          <w:numId w:val="1"/>
        </w:numPr>
        <w:ind w:left="0" w:leftChars="0" w:firstLine="0" w:firstLineChars="0"/>
        <w:rPr>
          <w:rFonts w:hint="eastAsia" w:ascii="仿宋" w:hAnsi="仿宋" w:eastAsia="仿宋" w:cs="Times New Roman"/>
          <w:kern w:val="2"/>
          <w:sz w:val="32"/>
          <w:szCs w:val="32"/>
          <w:lang w:val="en-US" w:eastAsia="zh-CN" w:bidi="ar-SA"/>
        </w:rPr>
      </w:pPr>
      <w:r>
        <w:rPr>
          <w:rFonts w:hint="eastAsia" w:ascii="仿宋" w:hAnsi="仿宋" w:eastAsia="仿宋" w:cs="Times New Roman"/>
          <w:kern w:val="2"/>
          <w:sz w:val="32"/>
          <w:szCs w:val="32"/>
          <w:lang w:val="en-US" w:eastAsia="zh-CN" w:bidi="ar-SA"/>
        </w:rPr>
        <w:t>一般预算支出表</w:t>
      </w:r>
    </w:p>
    <w:p>
      <w:pPr>
        <w:pStyle w:val="2"/>
        <w:numPr>
          <w:ilvl w:val="0"/>
          <w:numId w:val="1"/>
        </w:numPr>
        <w:ind w:left="0" w:leftChars="0" w:firstLine="0" w:firstLineChars="0"/>
        <w:rPr>
          <w:rFonts w:hint="eastAsia" w:ascii="仿宋" w:hAnsi="仿宋" w:eastAsia="仿宋" w:cs="Times New Roman"/>
          <w:kern w:val="2"/>
          <w:sz w:val="32"/>
          <w:szCs w:val="32"/>
          <w:lang w:val="en-US" w:eastAsia="zh-CN" w:bidi="ar-SA"/>
        </w:rPr>
      </w:pPr>
      <w:r>
        <w:rPr>
          <w:rFonts w:hint="eastAsia" w:ascii="仿宋" w:hAnsi="仿宋" w:eastAsia="仿宋" w:cs="Times New Roman"/>
          <w:kern w:val="2"/>
          <w:sz w:val="32"/>
          <w:szCs w:val="32"/>
          <w:lang w:val="en-US" w:eastAsia="zh-CN" w:bidi="ar-SA"/>
        </w:rPr>
        <w:t>一般预算基本支出表</w:t>
      </w:r>
    </w:p>
    <w:p>
      <w:pPr>
        <w:pStyle w:val="2"/>
        <w:numPr>
          <w:ilvl w:val="0"/>
          <w:numId w:val="1"/>
        </w:numPr>
        <w:ind w:left="0" w:leftChars="0" w:firstLine="0" w:firstLineChars="0"/>
        <w:rPr>
          <w:rFonts w:hint="eastAsia" w:ascii="仿宋" w:hAnsi="仿宋" w:eastAsia="仿宋" w:cs="Times New Roman"/>
          <w:kern w:val="2"/>
          <w:sz w:val="32"/>
          <w:szCs w:val="32"/>
          <w:lang w:val="en-US" w:eastAsia="zh-CN" w:bidi="ar-SA"/>
        </w:rPr>
      </w:pPr>
      <w:r>
        <w:rPr>
          <w:rFonts w:hint="eastAsia" w:ascii="仿宋" w:hAnsi="仿宋" w:eastAsia="仿宋" w:cs="Times New Roman"/>
          <w:kern w:val="2"/>
          <w:sz w:val="32"/>
          <w:szCs w:val="32"/>
          <w:lang w:val="en-US" w:eastAsia="zh-CN" w:bidi="ar-SA"/>
        </w:rPr>
        <w:t>一般预算“三公”经费支出表</w:t>
      </w:r>
    </w:p>
    <w:p>
      <w:pPr>
        <w:pStyle w:val="2"/>
        <w:numPr>
          <w:ilvl w:val="0"/>
          <w:numId w:val="1"/>
        </w:numPr>
        <w:ind w:left="0" w:leftChars="0" w:firstLine="0" w:firstLineChars="0"/>
        <w:rPr>
          <w:rFonts w:hint="eastAsia" w:ascii="仿宋" w:hAnsi="仿宋" w:eastAsia="仿宋" w:cs="Times New Roman"/>
          <w:kern w:val="2"/>
          <w:sz w:val="32"/>
          <w:szCs w:val="32"/>
          <w:lang w:val="en-US" w:eastAsia="zh-CN" w:bidi="ar-SA"/>
        </w:rPr>
      </w:pPr>
      <w:r>
        <w:rPr>
          <w:rFonts w:hint="eastAsia" w:ascii="仿宋" w:hAnsi="仿宋" w:eastAsia="仿宋" w:cs="Times New Roman"/>
          <w:kern w:val="2"/>
          <w:sz w:val="32"/>
          <w:szCs w:val="32"/>
          <w:lang w:val="en-US" w:eastAsia="zh-CN" w:bidi="ar-SA"/>
        </w:rPr>
        <w:t>项目绩效目标表</w:t>
      </w:r>
    </w:p>
    <w:p>
      <w:pPr>
        <w:pStyle w:val="2"/>
        <w:numPr>
          <w:ilvl w:val="0"/>
          <w:numId w:val="1"/>
        </w:numPr>
        <w:ind w:left="0" w:leftChars="0" w:firstLine="0" w:firstLineChars="0"/>
        <w:rPr>
          <w:rFonts w:hint="eastAsia" w:ascii="仿宋" w:hAnsi="仿宋" w:eastAsia="仿宋" w:cs="Times New Roman"/>
          <w:kern w:val="2"/>
          <w:sz w:val="32"/>
          <w:szCs w:val="32"/>
          <w:lang w:val="en-US" w:eastAsia="zh-CN" w:bidi="ar-SA"/>
        </w:rPr>
      </w:pPr>
      <w:r>
        <w:rPr>
          <w:rFonts w:hint="eastAsia" w:ascii="仿宋" w:hAnsi="仿宋" w:eastAsia="仿宋" w:cs="Times New Roman"/>
          <w:kern w:val="2"/>
          <w:sz w:val="32"/>
          <w:szCs w:val="32"/>
          <w:lang w:val="en-US" w:eastAsia="zh-CN" w:bidi="ar-SA"/>
        </w:rPr>
        <w:t>政府购买服务预算表</w:t>
      </w:r>
    </w:p>
    <w:p>
      <w:pPr>
        <w:pStyle w:val="2"/>
        <w:numPr>
          <w:ilvl w:val="0"/>
          <w:numId w:val="1"/>
        </w:numPr>
        <w:ind w:left="0" w:leftChars="0" w:firstLine="0" w:firstLineChars="0"/>
        <w:rPr>
          <w:rFonts w:hint="eastAsia" w:ascii="仿宋" w:hAnsi="仿宋" w:eastAsia="仿宋" w:cs="Times New Roman"/>
          <w:kern w:val="2"/>
          <w:sz w:val="32"/>
          <w:szCs w:val="32"/>
          <w:lang w:val="en-US" w:eastAsia="zh-CN" w:bidi="ar-SA"/>
        </w:rPr>
      </w:pPr>
      <w:r>
        <w:rPr>
          <w:rFonts w:hint="eastAsia" w:ascii="仿宋" w:hAnsi="仿宋" w:eastAsia="仿宋" w:cs="Times New Roman"/>
          <w:kern w:val="2"/>
          <w:sz w:val="32"/>
          <w:szCs w:val="32"/>
          <w:lang w:val="en-US" w:eastAsia="zh-CN" w:bidi="ar-SA"/>
        </w:rPr>
        <w:t>政府采购预算表</w:t>
      </w:r>
    </w:p>
    <w:p>
      <w:pPr>
        <w:pStyle w:val="2"/>
        <w:numPr>
          <w:ilvl w:val="0"/>
          <w:numId w:val="1"/>
        </w:numPr>
        <w:ind w:left="0" w:leftChars="0" w:firstLine="0" w:firstLineChars="0"/>
        <w:rPr>
          <w:rFonts w:hint="eastAsia" w:ascii="仿宋" w:hAnsi="仿宋" w:eastAsia="仿宋" w:cs="Times New Roman"/>
          <w:kern w:val="2"/>
          <w:sz w:val="32"/>
          <w:szCs w:val="32"/>
          <w:lang w:val="en-US" w:eastAsia="zh-CN" w:bidi="ar-SA"/>
        </w:rPr>
      </w:pPr>
      <w:r>
        <w:rPr>
          <w:rFonts w:hint="eastAsia" w:ascii="仿宋" w:hAnsi="仿宋" w:eastAsia="仿宋" w:cs="Times New Roman"/>
          <w:kern w:val="2"/>
          <w:sz w:val="32"/>
          <w:szCs w:val="32"/>
          <w:lang w:val="en-US" w:eastAsia="zh-CN" w:bidi="ar-SA"/>
        </w:rPr>
        <w:t>政府性基金收支总表</w:t>
      </w:r>
    </w:p>
    <w:p>
      <w:pPr>
        <w:pStyle w:val="2"/>
        <w:numPr>
          <w:ilvl w:val="0"/>
          <w:numId w:val="1"/>
        </w:numPr>
        <w:ind w:left="0" w:leftChars="0" w:firstLine="0" w:firstLineChars="0"/>
        <w:rPr>
          <w:rFonts w:hint="eastAsia" w:ascii="仿宋" w:hAnsi="仿宋" w:eastAsia="仿宋" w:cs="Times New Roman"/>
          <w:kern w:val="2"/>
          <w:sz w:val="32"/>
          <w:szCs w:val="32"/>
          <w:lang w:val="en-US" w:eastAsia="zh-CN" w:bidi="ar-SA"/>
        </w:rPr>
      </w:pPr>
      <w:r>
        <w:rPr>
          <w:rFonts w:hint="eastAsia" w:ascii="仿宋" w:hAnsi="仿宋" w:eastAsia="仿宋" w:cs="Times New Roman"/>
          <w:kern w:val="2"/>
          <w:sz w:val="32"/>
          <w:szCs w:val="32"/>
          <w:lang w:val="en-US" w:eastAsia="zh-CN" w:bidi="ar-SA"/>
        </w:rPr>
        <w:t>政府性基金预算支出表</w:t>
      </w:r>
    </w:p>
    <w:p>
      <w:pPr>
        <w:pStyle w:val="2"/>
        <w:numPr>
          <w:ilvl w:val="0"/>
          <w:numId w:val="1"/>
        </w:numPr>
        <w:ind w:left="0" w:leftChars="0" w:firstLine="0" w:firstLineChars="0"/>
        <w:rPr>
          <w:rFonts w:hint="eastAsia" w:ascii="仿宋" w:hAnsi="仿宋" w:eastAsia="仿宋" w:cs="Times New Roman"/>
          <w:kern w:val="2"/>
          <w:sz w:val="32"/>
          <w:szCs w:val="32"/>
          <w:lang w:val="en-US" w:eastAsia="zh-CN" w:bidi="ar-SA"/>
        </w:rPr>
      </w:pPr>
      <w:r>
        <w:rPr>
          <w:rFonts w:hint="eastAsia" w:ascii="仿宋" w:hAnsi="仿宋" w:eastAsia="仿宋" w:cs="Times New Roman"/>
          <w:kern w:val="2"/>
          <w:sz w:val="32"/>
          <w:szCs w:val="32"/>
          <w:lang w:val="en-US" w:eastAsia="zh-CN" w:bidi="ar-SA"/>
        </w:rPr>
        <w:t>政府性基金基本支出表</w:t>
      </w:r>
    </w:p>
    <w:p>
      <w:pPr>
        <w:pStyle w:val="2"/>
        <w:numPr>
          <w:ilvl w:val="0"/>
          <w:numId w:val="1"/>
        </w:numPr>
        <w:ind w:left="0" w:leftChars="0" w:firstLine="0" w:firstLineChars="0"/>
        <w:rPr>
          <w:rFonts w:hint="eastAsia" w:ascii="仿宋" w:hAnsi="仿宋" w:eastAsia="仿宋" w:cs="Times New Roman"/>
          <w:kern w:val="2"/>
          <w:sz w:val="32"/>
          <w:szCs w:val="32"/>
          <w:lang w:val="en-US" w:eastAsia="zh-CN" w:bidi="ar-SA"/>
        </w:rPr>
      </w:pPr>
      <w:r>
        <w:rPr>
          <w:rFonts w:hint="eastAsia" w:ascii="仿宋" w:hAnsi="仿宋" w:eastAsia="仿宋" w:cs="Times New Roman"/>
          <w:kern w:val="2"/>
          <w:sz w:val="32"/>
          <w:szCs w:val="32"/>
          <w:lang w:val="en-US" w:eastAsia="zh-CN" w:bidi="ar-SA"/>
        </w:rPr>
        <w:t>政府性基金“三公”经费支出预算表</w:t>
      </w:r>
    </w:p>
    <w:p>
      <w:pPr>
        <w:pStyle w:val="2"/>
        <w:numPr>
          <w:ilvl w:val="0"/>
          <w:numId w:val="1"/>
        </w:numPr>
        <w:ind w:left="0" w:leftChars="0" w:firstLine="0" w:firstLineChars="0"/>
        <w:rPr>
          <w:rFonts w:hint="eastAsia" w:ascii="仿宋" w:hAnsi="仿宋" w:eastAsia="仿宋" w:cs="Times New Roman"/>
          <w:kern w:val="2"/>
          <w:sz w:val="32"/>
          <w:szCs w:val="32"/>
          <w:lang w:val="en-US" w:eastAsia="zh-CN" w:bidi="ar-SA"/>
        </w:rPr>
      </w:pPr>
      <w:r>
        <w:rPr>
          <w:rFonts w:hint="eastAsia" w:ascii="仿宋" w:hAnsi="仿宋" w:eastAsia="仿宋" w:cs="Times New Roman"/>
          <w:kern w:val="2"/>
          <w:sz w:val="32"/>
          <w:szCs w:val="32"/>
          <w:lang w:val="en-US" w:eastAsia="zh-CN" w:bidi="ar-SA"/>
        </w:rPr>
        <w:t>项目支出表</w:t>
      </w:r>
    </w:p>
    <w:p>
      <w:pPr>
        <w:jc w:val="both"/>
        <w:rPr>
          <w:rFonts w:hint="eastAsia" w:ascii="黑体" w:hAnsi="黑体" w:eastAsia="黑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eastAsia="zh-CN"/>
        </w:rPr>
        <w:t>中国共产党工布江达县委员会组织部</w:t>
      </w:r>
      <w:r>
        <w:rPr>
          <w:rFonts w:hint="eastAsia" w:ascii="方正小标宋简体" w:hAnsi="仿宋" w:eastAsia="方正小标宋简体"/>
          <w:sz w:val="32"/>
          <w:szCs w:val="32"/>
        </w:rPr>
        <w:t>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收支总预算8610.14万元。收入包括：一般公共预算拨款收入8610.14</w:t>
      </w:r>
      <w:r>
        <w:rPr>
          <w:rFonts w:hint="eastAsia" w:ascii="仿宋" w:hAnsi="仿宋" w:eastAsia="仿宋"/>
          <w:sz w:val="32"/>
          <w:szCs w:val="32"/>
          <w:lang w:eastAsia="zh-CN"/>
        </w:rPr>
        <w:t>万元</w:t>
      </w:r>
      <w:r>
        <w:rPr>
          <w:rFonts w:hint="eastAsia" w:ascii="仿宋" w:hAnsi="仿宋" w:eastAsia="仿宋"/>
          <w:sz w:val="32"/>
          <w:szCs w:val="32"/>
        </w:rPr>
        <w:t>、上年结转1997.16</w:t>
      </w:r>
      <w:r>
        <w:rPr>
          <w:rFonts w:hint="eastAsia" w:ascii="仿宋" w:hAnsi="仿宋" w:eastAsia="仿宋"/>
          <w:sz w:val="32"/>
          <w:szCs w:val="32"/>
          <w:lang w:eastAsia="zh-CN"/>
        </w:rPr>
        <w:t>万元</w:t>
      </w:r>
      <w:r>
        <w:rPr>
          <w:rFonts w:hint="eastAsia" w:ascii="仿宋" w:hAnsi="仿宋" w:eastAsia="仿宋"/>
          <w:sz w:val="32"/>
          <w:szCs w:val="32"/>
        </w:rPr>
        <w:t>；支出包括：一般公共服务支出5414.37</w:t>
      </w:r>
      <w:r>
        <w:rPr>
          <w:rFonts w:hint="eastAsia" w:ascii="仿宋" w:hAnsi="仿宋" w:eastAsia="仿宋"/>
          <w:sz w:val="32"/>
          <w:szCs w:val="32"/>
          <w:lang w:eastAsia="zh-CN"/>
        </w:rPr>
        <w:t>万元</w:t>
      </w:r>
      <w:r>
        <w:rPr>
          <w:rFonts w:hint="eastAsia" w:ascii="仿宋" w:hAnsi="仿宋" w:eastAsia="仿宋"/>
          <w:sz w:val="32"/>
          <w:szCs w:val="32"/>
        </w:rPr>
        <w:t>、社会保障和就业支出97.02</w:t>
      </w:r>
      <w:r>
        <w:rPr>
          <w:rFonts w:hint="eastAsia" w:ascii="仿宋" w:hAnsi="仿宋" w:eastAsia="仿宋"/>
          <w:sz w:val="32"/>
          <w:szCs w:val="32"/>
          <w:lang w:eastAsia="zh-CN"/>
        </w:rPr>
        <w:t>万元</w:t>
      </w:r>
      <w:r>
        <w:rPr>
          <w:rFonts w:hint="eastAsia" w:ascii="仿宋" w:hAnsi="仿宋" w:eastAsia="仿宋"/>
          <w:sz w:val="32"/>
          <w:szCs w:val="32"/>
        </w:rPr>
        <w:t>、卫生健康支出71.82</w:t>
      </w:r>
      <w:r>
        <w:rPr>
          <w:rFonts w:hint="eastAsia" w:ascii="仿宋" w:hAnsi="仿宋" w:eastAsia="仿宋"/>
          <w:sz w:val="32"/>
          <w:szCs w:val="32"/>
          <w:lang w:eastAsia="zh-CN"/>
        </w:rPr>
        <w:t>万元</w:t>
      </w:r>
      <w:r>
        <w:rPr>
          <w:rFonts w:hint="eastAsia" w:ascii="仿宋" w:hAnsi="仿宋" w:eastAsia="仿宋"/>
          <w:sz w:val="32"/>
          <w:szCs w:val="32"/>
        </w:rPr>
        <w:t>、住房保障支出80.85</w:t>
      </w:r>
      <w:r>
        <w:rPr>
          <w:rFonts w:hint="eastAsia" w:ascii="仿宋" w:hAnsi="仿宋" w:eastAsia="仿宋"/>
          <w:sz w:val="32"/>
          <w:szCs w:val="32"/>
          <w:lang w:eastAsia="zh-CN"/>
        </w:rPr>
        <w:t>万元、农林水支出2946.08万元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例如：收入预算总量</w:t>
      </w:r>
      <w:r>
        <w:rPr>
          <w:rFonts w:hint="eastAsia" w:ascii="仿宋" w:hAnsi="仿宋" w:eastAsia="仿宋"/>
          <w:sz w:val="32"/>
          <w:szCs w:val="32"/>
          <w:lang w:val="en-US" w:eastAsia="zh-CN"/>
        </w:rPr>
        <w:t>8610.14</w:t>
      </w:r>
      <w:r>
        <w:rPr>
          <w:rFonts w:hint="eastAsia" w:ascii="仿宋" w:hAnsi="仿宋" w:eastAsia="仿宋"/>
          <w:sz w:val="32"/>
          <w:szCs w:val="32"/>
        </w:rPr>
        <w:t>万元，同比减少</w:t>
      </w:r>
      <w:r>
        <w:rPr>
          <w:rFonts w:hint="eastAsia" w:ascii="仿宋" w:hAnsi="仿宋" w:eastAsia="仿宋"/>
          <w:sz w:val="32"/>
          <w:szCs w:val="32"/>
          <w:lang w:val="en-US" w:eastAsia="zh-CN"/>
        </w:rPr>
        <w:t>1715.91</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lang w:eastAsia="zh-CN"/>
        </w:rPr>
        <w:t>上年结转项目减少及党建经费、</w:t>
      </w:r>
      <w:r>
        <w:rPr>
          <w:rFonts w:hint="eastAsia" w:ascii="仿宋" w:hAnsi="仿宋" w:eastAsia="仿宋"/>
          <w:sz w:val="32"/>
          <w:szCs w:val="32"/>
        </w:rPr>
        <w:t>干部职工体检经费</w:t>
      </w:r>
      <w:r>
        <w:rPr>
          <w:rFonts w:hint="eastAsia" w:ascii="仿宋" w:hAnsi="仿宋" w:eastAsia="仿宋"/>
          <w:sz w:val="32"/>
          <w:szCs w:val="32"/>
          <w:lang w:eastAsia="zh-CN"/>
        </w:rPr>
        <w:t>、乡村振兴专干待遇经费、未休假补助资金减少。</w:t>
      </w:r>
      <w:r>
        <w:rPr>
          <w:rFonts w:hint="eastAsia" w:ascii="仿宋" w:hAnsi="仿宋" w:eastAsia="仿宋"/>
          <w:sz w:val="32"/>
          <w:szCs w:val="32"/>
        </w:rPr>
        <w:t>其中：上年结转1918.04万元， 占</w:t>
      </w:r>
      <w:r>
        <w:rPr>
          <w:rFonts w:hint="eastAsia" w:ascii="仿宋" w:hAnsi="仿宋" w:eastAsia="仿宋"/>
          <w:sz w:val="32"/>
          <w:szCs w:val="32"/>
          <w:lang w:val="en-US" w:eastAsia="zh-CN"/>
        </w:rPr>
        <w:t>22.28</w:t>
      </w:r>
      <w:r>
        <w:rPr>
          <w:rFonts w:hint="eastAsia" w:ascii="仿宋" w:hAnsi="仿宋" w:eastAsia="仿宋"/>
          <w:sz w:val="32"/>
          <w:szCs w:val="32"/>
        </w:rPr>
        <w:t>%；2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lang w:val="en-US" w:eastAsia="zh-CN"/>
        </w:rPr>
        <w:t>8610.14</w:t>
      </w:r>
      <w:r>
        <w:rPr>
          <w:rFonts w:hint="eastAsia" w:ascii="仿宋" w:hAnsi="仿宋" w:eastAsia="仿宋"/>
          <w:sz w:val="32"/>
          <w:szCs w:val="32"/>
        </w:rPr>
        <w:t>万元，占</w:t>
      </w:r>
      <w:r>
        <w:rPr>
          <w:rFonts w:hint="eastAsia" w:ascii="仿宋" w:hAnsi="仿宋" w:eastAsia="仿宋"/>
          <w:sz w:val="32"/>
          <w:szCs w:val="32"/>
          <w:lang w:val="en-US" w:eastAsia="zh-CN"/>
        </w:rPr>
        <w:t>100</w:t>
      </w:r>
      <w:r>
        <w:rPr>
          <w:rFonts w:hint="eastAsia" w:ascii="仿宋" w:hAnsi="仿宋" w:eastAsia="仿宋"/>
          <w:sz w:val="32"/>
          <w:szCs w:val="32"/>
        </w:rPr>
        <w:t>%；2</w:t>
      </w:r>
      <w:r>
        <w:rPr>
          <w:rFonts w:ascii="仿宋" w:hAnsi="仿宋" w:eastAsia="仿宋"/>
          <w:sz w:val="32"/>
          <w:szCs w:val="32"/>
        </w:rPr>
        <w:t>024</w:t>
      </w:r>
      <w:r>
        <w:rPr>
          <w:rFonts w:hint="eastAsia" w:ascii="仿宋" w:hAnsi="仿宋" w:eastAsia="仿宋"/>
          <w:sz w:val="32"/>
          <w:szCs w:val="32"/>
        </w:rPr>
        <w:t>年政府性基金</w:t>
      </w:r>
      <w:r>
        <w:rPr>
          <w:rFonts w:ascii="仿宋" w:hAnsi="仿宋" w:eastAsia="仿宋"/>
          <w:sz w:val="32"/>
          <w:szCs w:val="32"/>
        </w:rPr>
        <w:t>预算</w:t>
      </w:r>
      <w:r>
        <w:rPr>
          <w:rFonts w:hint="eastAsia" w:ascii="仿宋" w:hAnsi="仿宋" w:eastAsia="仿宋"/>
          <w:sz w:val="32"/>
          <w:szCs w:val="32"/>
        </w:rPr>
        <w:t>拨款收入</w:t>
      </w:r>
      <w:r>
        <w:rPr>
          <w:rFonts w:hint="eastAsia" w:ascii="仿宋" w:hAnsi="仿宋" w:eastAsia="仿宋"/>
          <w:sz w:val="32"/>
          <w:szCs w:val="32"/>
          <w:lang w:val="en-US" w:eastAsia="zh-CN"/>
        </w:rPr>
        <w:t>0</w:t>
      </w:r>
      <w:r>
        <w:rPr>
          <w:rFonts w:hint="eastAsia" w:ascii="仿宋" w:hAnsi="仿宋" w:eastAsia="仿宋"/>
          <w:sz w:val="32"/>
          <w:szCs w:val="32"/>
        </w:rPr>
        <w:t>万元，占</w:t>
      </w:r>
      <w:r>
        <w:rPr>
          <w:rFonts w:hint="eastAsia" w:ascii="仿宋" w:hAnsi="仿宋" w:eastAsia="仿宋"/>
          <w:sz w:val="32"/>
          <w:szCs w:val="32"/>
          <w:lang w:val="en-US" w:eastAsia="zh-CN"/>
        </w:rPr>
        <w:t>0</w:t>
      </w:r>
      <w:r>
        <w:rPr>
          <w:rFonts w:hint="eastAsia" w:ascii="仿宋" w:hAnsi="仿宋" w:eastAsia="仿宋"/>
          <w:sz w:val="32"/>
          <w:szCs w:val="32"/>
        </w:rPr>
        <w:t>%；2</w:t>
      </w:r>
      <w:r>
        <w:rPr>
          <w:rFonts w:ascii="仿宋" w:hAnsi="仿宋" w:eastAsia="仿宋"/>
          <w:sz w:val="32"/>
          <w:szCs w:val="32"/>
        </w:rPr>
        <w:t>024</w:t>
      </w:r>
      <w:r>
        <w:rPr>
          <w:rFonts w:hint="eastAsia" w:ascii="仿宋" w:hAnsi="仿宋" w:eastAsia="仿宋"/>
          <w:sz w:val="32"/>
          <w:szCs w:val="32"/>
        </w:rPr>
        <w:t>年国有资本</w:t>
      </w:r>
      <w:r>
        <w:rPr>
          <w:rFonts w:ascii="仿宋" w:hAnsi="仿宋" w:eastAsia="仿宋"/>
          <w:sz w:val="32"/>
          <w:szCs w:val="32"/>
        </w:rPr>
        <w:t>经营预算</w:t>
      </w:r>
      <w:r>
        <w:rPr>
          <w:rFonts w:hint="eastAsia" w:ascii="仿宋" w:hAnsi="仿宋" w:eastAsia="仿宋"/>
          <w:sz w:val="32"/>
          <w:szCs w:val="32"/>
        </w:rPr>
        <w:t>拨款收入</w:t>
      </w:r>
      <w:r>
        <w:rPr>
          <w:rFonts w:hint="eastAsia" w:ascii="仿宋" w:hAnsi="仿宋" w:eastAsia="仿宋"/>
          <w:sz w:val="32"/>
          <w:szCs w:val="32"/>
          <w:lang w:val="en-US" w:eastAsia="zh-CN"/>
        </w:rPr>
        <w:t>0</w:t>
      </w:r>
      <w:r>
        <w:rPr>
          <w:rFonts w:hint="eastAsia" w:ascii="仿宋" w:hAnsi="仿宋" w:eastAsia="仿宋"/>
          <w:sz w:val="32"/>
          <w:szCs w:val="32"/>
        </w:rPr>
        <w:t>万元，占</w:t>
      </w:r>
      <w:r>
        <w:rPr>
          <w:rFonts w:hint="eastAsia" w:ascii="仿宋" w:hAnsi="仿宋" w:eastAsia="仿宋"/>
          <w:sz w:val="32"/>
          <w:szCs w:val="32"/>
          <w:lang w:val="en-US" w:eastAsia="zh-CN"/>
        </w:rPr>
        <w:t>0</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lang w:val="en-US" w:eastAsia="zh-CN"/>
        </w:rPr>
        <w:t>8610.14</w:t>
      </w:r>
      <w:r>
        <w:rPr>
          <w:rFonts w:hint="eastAsia" w:ascii="仿宋" w:hAnsi="仿宋" w:eastAsia="仿宋"/>
          <w:sz w:val="32"/>
          <w:szCs w:val="32"/>
        </w:rPr>
        <w:t>万元，同比减少</w:t>
      </w:r>
      <w:r>
        <w:rPr>
          <w:rFonts w:hint="eastAsia" w:ascii="仿宋" w:hAnsi="仿宋" w:eastAsia="仿宋"/>
          <w:sz w:val="32"/>
          <w:szCs w:val="32"/>
          <w:lang w:val="en-US" w:eastAsia="zh-CN"/>
        </w:rPr>
        <w:t>1715.91</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lang w:eastAsia="zh-CN"/>
        </w:rPr>
        <w:t>上年结转项目减少及党建经费、</w:t>
      </w:r>
      <w:r>
        <w:rPr>
          <w:rFonts w:hint="eastAsia" w:ascii="仿宋" w:hAnsi="仿宋" w:eastAsia="仿宋"/>
          <w:sz w:val="32"/>
          <w:szCs w:val="32"/>
        </w:rPr>
        <w:t>干部职工体检经费</w:t>
      </w:r>
      <w:r>
        <w:rPr>
          <w:rFonts w:hint="eastAsia" w:ascii="仿宋" w:hAnsi="仿宋" w:eastAsia="仿宋"/>
          <w:sz w:val="32"/>
          <w:szCs w:val="32"/>
          <w:lang w:eastAsia="zh-CN"/>
        </w:rPr>
        <w:t>、乡村振兴专干待遇经费、未休假补助资金减少。</w:t>
      </w:r>
      <w:r>
        <w:rPr>
          <w:rFonts w:hint="eastAsia" w:ascii="仿宋" w:hAnsi="仿宋" w:eastAsia="仿宋"/>
          <w:sz w:val="32"/>
          <w:szCs w:val="32"/>
        </w:rPr>
        <w:t>其中：基本支出</w:t>
      </w:r>
      <w:r>
        <w:rPr>
          <w:rFonts w:hint="eastAsia" w:ascii="仿宋" w:hAnsi="仿宋" w:eastAsia="仿宋"/>
          <w:sz w:val="32"/>
          <w:szCs w:val="32"/>
          <w:lang w:val="en-US" w:eastAsia="zh-CN"/>
        </w:rPr>
        <w:t>1021.33</w:t>
      </w:r>
      <w:r>
        <w:rPr>
          <w:rFonts w:hint="eastAsia" w:ascii="仿宋" w:hAnsi="仿宋" w:eastAsia="仿宋"/>
          <w:sz w:val="32"/>
          <w:szCs w:val="32"/>
        </w:rPr>
        <w:t>万元，占%</w:t>
      </w:r>
      <w:r>
        <w:rPr>
          <w:rFonts w:hint="eastAsia" w:ascii="仿宋" w:hAnsi="仿宋" w:eastAsia="仿宋"/>
          <w:sz w:val="32"/>
          <w:szCs w:val="32"/>
          <w:lang w:val="en-US" w:eastAsia="zh-CN"/>
        </w:rPr>
        <w:t>11.86</w:t>
      </w:r>
      <w:r>
        <w:rPr>
          <w:rFonts w:hint="eastAsia" w:ascii="仿宋" w:hAnsi="仿宋" w:eastAsia="仿宋"/>
          <w:sz w:val="32"/>
          <w:szCs w:val="32"/>
        </w:rPr>
        <w:t>；项目支出7588.81万元，占</w:t>
      </w:r>
      <w:r>
        <w:rPr>
          <w:rFonts w:hint="eastAsia" w:ascii="仿宋" w:hAnsi="仿宋" w:eastAsia="仿宋"/>
          <w:sz w:val="32"/>
          <w:szCs w:val="32"/>
          <w:lang w:val="en-US" w:eastAsia="zh-CN"/>
        </w:rPr>
        <w:t>88.14</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lang w:val="en-US" w:eastAsia="zh-CN"/>
        </w:rPr>
        <w:t>8610.14</w:t>
      </w:r>
      <w:r>
        <w:rPr>
          <w:rFonts w:hint="eastAsia" w:ascii="仿宋" w:hAnsi="仿宋" w:eastAsia="仿宋"/>
          <w:sz w:val="32"/>
          <w:szCs w:val="32"/>
        </w:rPr>
        <w:t>万元，同比减少</w:t>
      </w:r>
      <w:r>
        <w:rPr>
          <w:rFonts w:hint="eastAsia" w:ascii="仿宋" w:hAnsi="仿宋" w:eastAsia="仿宋"/>
          <w:sz w:val="32"/>
          <w:szCs w:val="32"/>
          <w:lang w:val="en-US" w:eastAsia="zh-CN"/>
        </w:rPr>
        <w:t>1715.91</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lang w:eastAsia="zh-CN"/>
        </w:rPr>
        <w:t>上年结转项目减少及党建经费、</w:t>
      </w:r>
      <w:r>
        <w:rPr>
          <w:rFonts w:hint="eastAsia" w:ascii="仿宋" w:hAnsi="仿宋" w:eastAsia="仿宋"/>
          <w:sz w:val="32"/>
          <w:szCs w:val="32"/>
        </w:rPr>
        <w:t>干部职工体检经费</w:t>
      </w:r>
      <w:r>
        <w:rPr>
          <w:rFonts w:hint="eastAsia" w:ascii="仿宋" w:hAnsi="仿宋" w:eastAsia="仿宋"/>
          <w:sz w:val="32"/>
          <w:szCs w:val="32"/>
          <w:lang w:eastAsia="zh-CN"/>
        </w:rPr>
        <w:t>、乡村振兴专干待遇经费、未休假补助资金减少。</w:t>
      </w:r>
      <w:r>
        <w:rPr>
          <w:rFonts w:hint="eastAsia" w:ascii="仿宋" w:hAnsi="仿宋" w:eastAsia="仿宋"/>
          <w:sz w:val="32"/>
          <w:szCs w:val="32"/>
        </w:rPr>
        <w:t>收入包括：一般公共预算当年拨款收入6692.1万元、上年结转1918.04万元；支出包括：一般公共服务支出5414.37</w:t>
      </w:r>
      <w:r>
        <w:rPr>
          <w:rFonts w:hint="eastAsia" w:ascii="仿宋" w:hAnsi="仿宋" w:eastAsia="仿宋"/>
          <w:sz w:val="32"/>
          <w:szCs w:val="32"/>
          <w:lang w:eastAsia="zh-CN"/>
        </w:rPr>
        <w:t>万元</w:t>
      </w:r>
      <w:r>
        <w:rPr>
          <w:rFonts w:hint="eastAsia" w:ascii="仿宋" w:hAnsi="仿宋" w:eastAsia="仿宋"/>
          <w:sz w:val="32"/>
          <w:szCs w:val="32"/>
        </w:rPr>
        <w:t>、社会保障和就业支出97.02</w:t>
      </w:r>
      <w:r>
        <w:rPr>
          <w:rFonts w:hint="eastAsia" w:ascii="仿宋" w:hAnsi="仿宋" w:eastAsia="仿宋"/>
          <w:sz w:val="32"/>
          <w:szCs w:val="32"/>
          <w:lang w:eastAsia="zh-CN"/>
        </w:rPr>
        <w:t>万元</w:t>
      </w:r>
      <w:r>
        <w:rPr>
          <w:rFonts w:hint="eastAsia" w:ascii="仿宋" w:hAnsi="仿宋" w:eastAsia="仿宋"/>
          <w:sz w:val="32"/>
          <w:szCs w:val="32"/>
        </w:rPr>
        <w:t>、卫生健康支出71.82</w:t>
      </w:r>
      <w:r>
        <w:rPr>
          <w:rFonts w:hint="eastAsia" w:ascii="仿宋" w:hAnsi="仿宋" w:eastAsia="仿宋"/>
          <w:sz w:val="32"/>
          <w:szCs w:val="32"/>
          <w:lang w:eastAsia="zh-CN"/>
        </w:rPr>
        <w:t>万元</w:t>
      </w:r>
      <w:r>
        <w:rPr>
          <w:rFonts w:hint="eastAsia" w:ascii="仿宋" w:hAnsi="仿宋" w:eastAsia="仿宋"/>
          <w:sz w:val="32"/>
          <w:szCs w:val="32"/>
        </w:rPr>
        <w:t>、住房保障支出80.85</w:t>
      </w:r>
      <w:r>
        <w:rPr>
          <w:rFonts w:hint="eastAsia" w:ascii="仿宋" w:hAnsi="仿宋" w:eastAsia="仿宋"/>
          <w:sz w:val="32"/>
          <w:szCs w:val="32"/>
          <w:lang w:eastAsia="zh-CN"/>
        </w:rPr>
        <w:t>万元、农林水支出2946.08万元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例如：一般公共预算当年拨款8610.14万元,比2023 年执行数减少</w:t>
      </w:r>
      <w:r>
        <w:rPr>
          <w:rFonts w:hint="eastAsia" w:ascii="仿宋" w:hAnsi="仿宋" w:eastAsia="仿宋"/>
          <w:sz w:val="32"/>
          <w:szCs w:val="32"/>
          <w:lang w:val="en-US" w:eastAsia="zh-CN"/>
        </w:rPr>
        <w:t>1715.91</w:t>
      </w:r>
      <w:r>
        <w:rPr>
          <w:rFonts w:hint="eastAsia" w:ascii="仿宋" w:hAnsi="仿宋" w:eastAsia="仿宋"/>
          <w:sz w:val="32"/>
          <w:szCs w:val="32"/>
        </w:rPr>
        <w:t>元，主要原因：</w:t>
      </w:r>
      <w:r>
        <w:rPr>
          <w:rFonts w:hint="eastAsia" w:ascii="仿宋" w:hAnsi="仿宋" w:eastAsia="仿宋"/>
          <w:sz w:val="32"/>
          <w:szCs w:val="32"/>
          <w:lang w:eastAsia="zh-CN"/>
        </w:rPr>
        <w:t>党建经费等资金减少</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一般公共预算当年拨款8610.14万元,主要</w:t>
      </w:r>
      <w:r>
        <w:rPr>
          <w:rFonts w:ascii="仿宋" w:hAnsi="仿宋" w:eastAsia="仿宋"/>
          <w:sz w:val="32"/>
          <w:szCs w:val="32"/>
        </w:rPr>
        <w:t>用于以下方面：</w:t>
      </w:r>
      <w:r>
        <w:rPr>
          <w:rFonts w:hint="eastAsia" w:ascii="仿宋" w:hAnsi="仿宋" w:eastAsia="仿宋"/>
          <w:sz w:val="32"/>
          <w:szCs w:val="32"/>
        </w:rPr>
        <w:t>一般公共服务支出5414.37</w:t>
      </w:r>
      <w:r>
        <w:rPr>
          <w:rFonts w:hint="eastAsia" w:ascii="仿宋" w:hAnsi="仿宋" w:eastAsia="仿宋"/>
          <w:sz w:val="32"/>
          <w:szCs w:val="32"/>
          <w:lang w:eastAsia="zh-CN"/>
        </w:rPr>
        <w:t>万元</w:t>
      </w:r>
      <w:r>
        <w:rPr>
          <w:rFonts w:hint="eastAsia" w:ascii="仿宋" w:hAnsi="仿宋" w:eastAsia="仿宋"/>
          <w:sz w:val="32"/>
          <w:szCs w:val="32"/>
        </w:rPr>
        <w:t>，占</w:t>
      </w:r>
      <w:r>
        <w:rPr>
          <w:rFonts w:hint="eastAsia" w:ascii="仿宋" w:hAnsi="仿宋" w:eastAsia="仿宋"/>
          <w:sz w:val="32"/>
          <w:szCs w:val="32"/>
          <w:lang w:val="en-US" w:eastAsia="zh-CN"/>
        </w:rPr>
        <w:t>62.88</w:t>
      </w:r>
      <w:r>
        <w:rPr>
          <w:rFonts w:hint="eastAsia" w:ascii="仿宋" w:hAnsi="仿宋" w:eastAsia="仿宋"/>
          <w:sz w:val="32"/>
          <w:szCs w:val="32"/>
        </w:rPr>
        <w:t>%；社会保障和就业支出97.02</w:t>
      </w:r>
      <w:r>
        <w:rPr>
          <w:rFonts w:hint="eastAsia" w:ascii="仿宋" w:hAnsi="仿宋" w:eastAsia="仿宋"/>
          <w:sz w:val="32"/>
          <w:szCs w:val="32"/>
          <w:lang w:eastAsia="zh-CN"/>
        </w:rPr>
        <w:t>万元</w:t>
      </w:r>
      <w:r>
        <w:rPr>
          <w:rFonts w:hint="eastAsia" w:ascii="仿宋" w:hAnsi="仿宋" w:eastAsia="仿宋"/>
          <w:sz w:val="32"/>
          <w:szCs w:val="32"/>
        </w:rPr>
        <w:t>，占</w:t>
      </w:r>
      <w:r>
        <w:rPr>
          <w:rFonts w:hint="eastAsia" w:ascii="仿宋" w:hAnsi="仿宋" w:eastAsia="仿宋"/>
          <w:sz w:val="32"/>
          <w:szCs w:val="32"/>
          <w:lang w:val="en-US" w:eastAsia="zh-CN"/>
        </w:rPr>
        <w:t>1.13</w:t>
      </w:r>
      <w:r>
        <w:rPr>
          <w:rFonts w:hint="eastAsia" w:ascii="仿宋" w:hAnsi="仿宋" w:eastAsia="仿宋"/>
          <w:sz w:val="32"/>
          <w:szCs w:val="32"/>
        </w:rPr>
        <w:t>%；卫生健康支出71.82</w:t>
      </w:r>
      <w:r>
        <w:rPr>
          <w:rFonts w:hint="eastAsia" w:ascii="仿宋" w:hAnsi="仿宋" w:eastAsia="仿宋"/>
          <w:sz w:val="32"/>
          <w:szCs w:val="32"/>
          <w:lang w:eastAsia="zh-CN"/>
        </w:rPr>
        <w:t>万元</w:t>
      </w:r>
      <w:r>
        <w:rPr>
          <w:rFonts w:hint="eastAsia" w:ascii="仿宋" w:hAnsi="仿宋" w:eastAsia="仿宋"/>
          <w:sz w:val="32"/>
          <w:szCs w:val="32"/>
        </w:rPr>
        <w:t>，占</w:t>
      </w:r>
      <w:r>
        <w:rPr>
          <w:rFonts w:hint="eastAsia" w:ascii="仿宋" w:hAnsi="仿宋" w:eastAsia="仿宋"/>
          <w:sz w:val="32"/>
          <w:szCs w:val="32"/>
          <w:lang w:val="en-US" w:eastAsia="zh-CN"/>
        </w:rPr>
        <w:t>0.83</w:t>
      </w:r>
      <w:r>
        <w:rPr>
          <w:rFonts w:hint="eastAsia" w:ascii="仿宋" w:hAnsi="仿宋" w:eastAsia="仿宋"/>
          <w:sz w:val="32"/>
          <w:szCs w:val="32"/>
        </w:rPr>
        <w:t>%；住房保障支出80.85</w:t>
      </w:r>
      <w:r>
        <w:rPr>
          <w:rFonts w:hint="eastAsia" w:ascii="仿宋" w:hAnsi="仿宋" w:eastAsia="仿宋"/>
          <w:sz w:val="32"/>
          <w:szCs w:val="32"/>
          <w:lang w:eastAsia="zh-CN"/>
        </w:rPr>
        <w:t>万元</w:t>
      </w:r>
      <w:r>
        <w:rPr>
          <w:rFonts w:hint="eastAsia" w:ascii="仿宋" w:hAnsi="仿宋" w:eastAsia="仿宋"/>
          <w:sz w:val="32"/>
          <w:szCs w:val="32"/>
        </w:rPr>
        <w:t>，占</w:t>
      </w:r>
      <w:r>
        <w:rPr>
          <w:rFonts w:hint="eastAsia" w:ascii="仿宋" w:hAnsi="仿宋" w:eastAsia="仿宋"/>
          <w:sz w:val="32"/>
          <w:szCs w:val="32"/>
          <w:lang w:val="en-US" w:eastAsia="zh-CN"/>
        </w:rPr>
        <w:t>0.94</w:t>
      </w:r>
      <w:r>
        <w:rPr>
          <w:rFonts w:hint="eastAsia" w:ascii="仿宋" w:hAnsi="仿宋" w:eastAsia="仿宋"/>
          <w:sz w:val="32"/>
          <w:szCs w:val="32"/>
        </w:rPr>
        <w:t>%；</w:t>
      </w:r>
      <w:r>
        <w:rPr>
          <w:rFonts w:hint="eastAsia" w:ascii="仿宋" w:hAnsi="仿宋" w:eastAsia="仿宋"/>
          <w:sz w:val="32"/>
          <w:szCs w:val="32"/>
          <w:lang w:eastAsia="zh-CN"/>
        </w:rPr>
        <w:t>农林水支出2946.08万元</w:t>
      </w:r>
      <w:r>
        <w:rPr>
          <w:rFonts w:hint="eastAsia" w:ascii="仿宋" w:hAnsi="仿宋" w:eastAsia="仿宋"/>
          <w:sz w:val="32"/>
          <w:szCs w:val="32"/>
        </w:rPr>
        <w:t>，占</w:t>
      </w:r>
      <w:r>
        <w:rPr>
          <w:rFonts w:hint="eastAsia" w:ascii="仿宋" w:hAnsi="仿宋" w:eastAsia="仿宋"/>
          <w:sz w:val="32"/>
          <w:szCs w:val="32"/>
          <w:lang w:val="en-US" w:eastAsia="zh-CN"/>
        </w:rPr>
        <w:t>34.22</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hint="eastAsia" w:ascii="仿宋" w:hAnsi="仿宋" w:eastAsia="仿宋"/>
          <w:sz w:val="32"/>
          <w:szCs w:val="32"/>
        </w:rPr>
      </w:pPr>
      <w:r>
        <w:rPr>
          <w:rFonts w:hint="eastAsia" w:ascii="仿宋" w:hAnsi="仿宋" w:eastAsia="仿宋"/>
          <w:sz w:val="32"/>
          <w:szCs w:val="32"/>
        </w:rPr>
        <w:t>1.一般公共服务支出（类）组织事务（款）其他组织事务支出（项）预算数为4630.73万元，比2023年执行数减少</w:t>
      </w:r>
      <w:r>
        <w:rPr>
          <w:rFonts w:hint="eastAsia" w:ascii="仿宋" w:hAnsi="仿宋" w:eastAsia="仿宋"/>
          <w:sz w:val="32"/>
          <w:szCs w:val="32"/>
          <w:lang w:val="en-US" w:eastAsia="zh-CN"/>
        </w:rPr>
        <w:t>1694.95</w:t>
      </w:r>
      <w:r>
        <w:rPr>
          <w:rFonts w:hint="eastAsia" w:ascii="仿宋" w:hAnsi="仿宋" w:eastAsia="仿宋"/>
          <w:sz w:val="32"/>
          <w:szCs w:val="32"/>
        </w:rPr>
        <w:t>万元，下降</w:t>
      </w:r>
      <w:r>
        <w:rPr>
          <w:rFonts w:hint="eastAsia" w:ascii="仿宋" w:hAnsi="仿宋" w:eastAsia="仿宋"/>
          <w:sz w:val="32"/>
          <w:szCs w:val="32"/>
          <w:lang w:val="en-US" w:eastAsia="zh-CN"/>
        </w:rPr>
        <w:t>26.79</w:t>
      </w:r>
      <w:r>
        <w:rPr>
          <w:rFonts w:hint="eastAsia" w:ascii="仿宋" w:hAnsi="仿宋" w:eastAsia="仿宋"/>
          <w:sz w:val="32"/>
          <w:szCs w:val="32"/>
        </w:rPr>
        <w:t>%。主要是干部职工体检经费</w:t>
      </w:r>
      <w:r>
        <w:rPr>
          <w:rFonts w:hint="eastAsia" w:ascii="仿宋" w:hAnsi="仿宋" w:eastAsia="仿宋"/>
          <w:sz w:val="32"/>
          <w:szCs w:val="32"/>
          <w:lang w:eastAsia="zh-CN"/>
        </w:rPr>
        <w:t>、乡村振兴专干待遇经费、未休假补助资金等减少</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2</w:t>
      </w:r>
      <w:r>
        <w:rPr>
          <w:rFonts w:hint="eastAsia" w:ascii="仿宋" w:hAnsi="仿宋" w:eastAsia="仿宋"/>
          <w:sz w:val="32"/>
          <w:szCs w:val="32"/>
        </w:rPr>
        <w:t>.一般公共服务支出（类）组织事务（款） 行政运行（项）预算数为771.64万元，比2023年执行数</w:t>
      </w:r>
      <w:r>
        <w:rPr>
          <w:rFonts w:hint="eastAsia" w:ascii="仿宋" w:hAnsi="仿宋" w:eastAsia="仿宋"/>
          <w:sz w:val="32"/>
          <w:szCs w:val="32"/>
          <w:lang w:eastAsia="zh-CN"/>
        </w:rPr>
        <w:t>增加</w:t>
      </w:r>
      <w:r>
        <w:rPr>
          <w:rFonts w:hint="eastAsia" w:ascii="仿宋" w:hAnsi="仿宋" w:eastAsia="仿宋"/>
          <w:sz w:val="32"/>
          <w:szCs w:val="32"/>
          <w:lang w:val="en-US" w:eastAsia="zh-CN"/>
        </w:rPr>
        <w:t>34.59</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lang w:val="en-US" w:eastAsia="zh-CN"/>
        </w:rPr>
        <w:t>6.69</w:t>
      </w:r>
      <w:r>
        <w:rPr>
          <w:rFonts w:hint="eastAsia" w:ascii="仿宋" w:hAnsi="仿宋" w:eastAsia="仿宋"/>
          <w:sz w:val="32"/>
          <w:szCs w:val="32"/>
        </w:rPr>
        <w:t>%。主要是</w:t>
      </w:r>
      <w:r>
        <w:rPr>
          <w:rFonts w:hint="eastAsia" w:ascii="仿宋" w:hAnsi="仿宋" w:eastAsia="仿宋"/>
          <w:sz w:val="32"/>
          <w:szCs w:val="32"/>
          <w:lang w:eastAsia="zh-CN"/>
        </w:rPr>
        <w:t>人员增加，工资增加</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3</w:t>
      </w:r>
      <w:r>
        <w:rPr>
          <w:rFonts w:hint="eastAsia" w:ascii="仿宋" w:hAnsi="仿宋" w:eastAsia="仿宋"/>
          <w:sz w:val="32"/>
          <w:szCs w:val="32"/>
        </w:rPr>
        <w:t>.一般公共服务支出（类）组织事务（款）一般行政管理事务（项）预算数为2万元，比2023年执行数减少</w:t>
      </w:r>
      <w:r>
        <w:rPr>
          <w:rFonts w:hint="eastAsia" w:ascii="仿宋" w:hAnsi="仿宋" w:eastAsia="仿宋"/>
          <w:sz w:val="32"/>
          <w:szCs w:val="32"/>
          <w:lang w:val="en-US" w:eastAsia="zh-CN"/>
        </w:rPr>
        <w:t>37.95</w:t>
      </w:r>
      <w:r>
        <w:rPr>
          <w:rFonts w:hint="eastAsia" w:ascii="仿宋" w:hAnsi="仿宋" w:eastAsia="仿宋"/>
          <w:sz w:val="32"/>
          <w:szCs w:val="32"/>
        </w:rPr>
        <w:t>万元，下降</w:t>
      </w:r>
      <w:r>
        <w:rPr>
          <w:rFonts w:hint="eastAsia" w:ascii="仿宋" w:hAnsi="仿宋" w:eastAsia="仿宋"/>
          <w:sz w:val="32"/>
          <w:szCs w:val="32"/>
          <w:lang w:val="en-US" w:eastAsia="zh-CN"/>
        </w:rPr>
        <w:t>94.99</w:t>
      </w:r>
      <w:r>
        <w:rPr>
          <w:rFonts w:hint="eastAsia" w:ascii="仿宋" w:hAnsi="仿宋" w:eastAsia="仿宋"/>
          <w:sz w:val="32"/>
          <w:szCs w:val="32"/>
        </w:rPr>
        <w:t>%。主要是关基层党组织活动经费</w:t>
      </w:r>
      <w:r>
        <w:rPr>
          <w:rFonts w:hint="eastAsia" w:ascii="仿宋" w:hAnsi="仿宋" w:eastAsia="仿宋"/>
          <w:sz w:val="32"/>
          <w:szCs w:val="32"/>
          <w:lang w:eastAsia="zh-CN"/>
        </w:rPr>
        <w:t>科目调整</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4</w:t>
      </w:r>
      <w:r>
        <w:rPr>
          <w:rFonts w:hint="eastAsia" w:ascii="仿宋" w:hAnsi="仿宋" w:eastAsia="仿宋"/>
          <w:sz w:val="32"/>
          <w:szCs w:val="32"/>
        </w:rPr>
        <w:t>.一般公共服务支出（类）组织事务（款）公务员事务（项）预算数为10万元，比2023年执行数</w:t>
      </w:r>
      <w:r>
        <w:rPr>
          <w:rFonts w:hint="eastAsia" w:ascii="仿宋" w:hAnsi="仿宋" w:eastAsia="仿宋"/>
          <w:sz w:val="32"/>
          <w:szCs w:val="32"/>
          <w:lang w:eastAsia="zh-CN"/>
        </w:rPr>
        <w:t>增加</w:t>
      </w:r>
      <w:r>
        <w:rPr>
          <w:rFonts w:hint="eastAsia" w:ascii="仿宋" w:hAnsi="仿宋" w:eastAsia="仿宋"/>
          <w:sz w:val="32"/>
          <w:szCs w:val="32"/>
          <w:lang w:val="en-US" w:eastAsia="zh-CN"/>
        </w:rPr>
        <w:t>4.12</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lang w:val="en-US" w:eastAsia="zh-CN"/>
        </w:rPr>
        <w:t>70.07</w:t>
      </w:r>
      <w:r>
        <w:rPr>
          <w:rFonts w:hint="eastAsia" w:ascii="仿宋" w:hAnsi="仿宋" w:eastAsia="仿宋"/>
          <w:sz w:val="32"/>
          <w:szCs w:val="32"/>
        </w:rPr>
        <w:t>%。主要是干部人事工作经费</w:t>
      </w:r>
      <w:r>
        <w:rPr>
          <w:rFonts w:hint="eastAsia" w:ascii="仿宋" w:hAnsi="仿宋" w:eastAsia="仿宋"/>
          <w:sz w:val="32"/>
          <w:szCs w:val="32"/>
          <w:lang w:eastAsia="zh-CN"/>
        </w:rPr>
        <w:t>增加</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5</w:t>
      </w:r>
      <w:r>
        <w:rPr>
          <w:rFonts w:hint="eastAsia" w:ascii="仿宋" w:hAnsi="仿宋" w:eastAsia="仿宋"/>
          <w:sz w:val="32"/>
          <w:szCs w:val="32"/>
        </w:rPr>
        <w:t>.社会保障和就业支出（类）财政对基本养老保险基金的补助（款）财政对其他基本养老保险基金的补助（项）预算数为95.03万元，比2023年执行数</w:t>
      </w:r>
      <w:r>
        <w:rPr>
          <w:rFonts w:hint="eastAsia" w:ascii="仿宋" w:hAnsi="仿宋" w:eastAsia="仿宋"/>
          <w:sz w:val="32"/>
          <w:szCs w:val="32"/>
          <w:lang w:eastAsia="zh-CN"/>
        </w:rPr>
        <w:t>增加</w:t>
      </w:r>
      <w:r>
        <w:rPr>
          <w:rFonts w:hint="eastAsia" w:ascii="仿宋" w:hAnsi="仿宋" w:eastAsia="仿宋"/>
          <w:sz w:val="32"/>
          <w:szCs w:val="32"/>
          <w:lang w:val="en-US" w:eastAsia="zh-CN"/>
        </w:rPr>
        <w:t>17.63</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lang w:val="en-US" w:eastAsia="zh-CN"/>
        </w:rPr>
        <w:t>22.88</w:t>
      </w:r>
      <w:r>
        <w:rPr>
          <w:rFonts w:hint="eastAsia" w:ascii="仿宋" w:hAnsi="仿宋" w:eastAsia="仿宋"/>
          <w:sz w:val="32"/>
          <w:szCs w:val="32"/>
        </w:rPr>
        <w:t>%。主要是</w:t>
      </w:r>
      <w:r>
        <w:rPr>
          <w:rFonts w:hint="eastAsia" w:ascii="仿宋" w:hAnsi="仿宋" w:eastAsia="仿宋"/>
          <w:sz w:val="32"/>
          <w:szCs w:val="32"/>
          <w:lang w:eastAsia="zh-CN"/>
        </w:rPr>
        <w:t>人员工资上涨、人员增加、五险上涨</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6</w:t>
      </w:r>
      <w:r>
        <w:rPr>
          <w:rFonts w:hint="eastAsia" w:ascii="仿宋" w:hAnsi="仿宋" w:eastAsia="仿宋"/>
          <w:sz w:val="32"/>
          <w:szCs w:val="32"/>
        </w:rPr>
        <w:t>.社会保障和就业支出（类）财政对其他社会保险基金的补助（款）财政对工伤保险基金的补助（项）预算数为</w:t>
      </w:r>
      <w:r>
        <w:rPr>
          <w:rFonts w:hint="eastAsia" w:ascii="仿宋" w:hAnsi="仿宋" w:eastAsia="仿宋"/>
          <w:sz w:val="32"/>
          <w:szCs w:val="32"/>
          <w:lang w:val="en-US" w:eastAsia="zh-CN"/>
        </w:rPr>
        <w:t>0.6</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lang w:val="en-US" w:eastAsia="zh-CN"/>
        </w:rPr>
        <w:t>0.11</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lang w:val="en-US" w:eastAsia="zh-CN"/>
        </w:rPr>
        <w:t>22.45</w:t>
      </w:r>
      <w:r>
        <w:rPr>
          <w:rFonts w:hint="eastAsia" w:ascii="仿宋" w:hAnsi="仿宋" w:eastAsia="仿宋"/>
          <w:sz w:val="32"/>
          <w:szCs w:val="32"/>
        </w:rPr>
        <w:t>%。主要是</w:t>
      </w:r>
      <w:r>
        <w:rPr>
          <w:rFonts w:hint="eastAsia" w:ascii="仿宋" w:hAnsi="仿宋" w:eastAsia="仿宋"/>
          <w:sz w:val="32"/>
          <w:szCs w:val="32"/>
          <w:lang w:eastAsia="zh-CN"/>
        </w:rPr>
        <w:t>人员工资上涨、人员增加、五险上涨</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7</w:t>
      </w:r>
      <w:r>
        <w:rPr>
          <w:rFonts w:hint="eastAsia" w:ascii="仿宋" w:hAnsi="仿宋" w:eastAsia="仿宋"/>
          <w:sz w:val="32"/>
          <w:szCs w:val="32"/>
        </w:rPr>
        <w:t>.社会保障和就业支出（类）财政对其他社会保险基金的补助（款）财政对失业保险基金的补助（项）预算数为</w:t>
      </w:r>
      <w:r>
        <w:rPr>
          <w:rFonts w:hint="eastAsia" w:ascii="仿宋" w:hAnsi="仿宋" w:eastAsia="仿宋"/>
          <w:sz w:val="32"/>
          <w:szCs w:val="32"/>
          <w:lang w:val="en-US" w:eastAsia="zh-CN"/>
        </w:rPr>
        <w:t>1.39</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lang w:val="en-US" w:eastAsia="zh-CN"/>
        </w:rPr>
        <w:t>0.39</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lang w:val="en-US" w:eastAsia="zh-CN"/>
        </w:rPr>
        <w:t>39</w:t>
      </w:r>
      <w:r>
        <w:rPr>
          <w:rFonts w:hint="eastAsia" w:ascii="仿宋" w:hAnsi="仿宋" w:eastAsia="仿宋"/>
          <w:sz w:val="32"/>
          <w:szCs w:val="32"/>
        </w:rPr>
        <w:t>%。主要是</w:t>
      </w:r>
      <w:r>
        <w:rPr>
          <w:rFonts w:hint="eastAsia" w:ascii="仿宋" w:hAnsi="仿宋" w:eastAsia="仿宋"/>
          <w:sz w:val="32"/>
          <w:szCs w:val="32"/>
          <w:lang w:eastAsia="zh-CN"/>
        </w:rPr>
        <w:t>人员工资上涨、人员增加、五险上涨</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8</w:t>
      </w:r>
      <w:r>
        <w:rPr>
          <w:rFonts w:hint="eastAsia" w:ascii="仿宋" w:hAnsi="仿宋" w:eastAsia="仿宋"/>
          <w:sz w:val="32"/>
          <w:szCs w:val="32"/>
        </w:rPr>
        <w:t>.卫生健康支出（类）行政事业单位医疗（款）公务员医疗补助（项）预算数为</w:t>
      </w:r>
      <w:r>
        <w:rPr>
          <w:rFonts w:hint="eastAsia" w:ascii="仿宋" w:hAnsi="仿宋" w:eastAsia="仿宋"/>
          <w:sz w:val="32"/>
          <w:szCs w:val="32"/>
          <w:lang w:val="en-US" w:eastAsia="zh-CN"/>
        </w:rPr>
        <w:t>11.72</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lang w:val="en-US" w:eastAsia="zh-CN"/>
        </w:rPr>
        <w:t>0.95</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lang w:val="en-US" w:eastAsia="zh-CN"/>
        </w:rPr>
        <w:t>8.82</w:t>
      </w:r>
      <w:r>
        <w:rPr>
          <w:rFonts w:hint="eastAsia" w:ascii="仿宋" w:hAnsi="仿宋" w:eastAsia="仿宋"/>
          <w:sz w:val="32"/>
          <w:szCs w:val="32"/>
        </w:rPr>
        <w:t>%。主要是</w:t>
      </w:r>
      <w:r>
        <w:rPr>
          <w:rFonts w:hint="eastAsia" w:ascii="仿宋" w:hAnsi="仿宋" w:eastAsia="仿宋"/>
          <w:sz w:val="32"/>
          <w:szCs w:val="32"/>
          <w:lang w:eastAsia="zh-CN"/>
        </w:rPr>
        <w:t>人员工资上涨、人员增加、五险上涨</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9</w:t>
      </w:r>
      <w:r>
        <w:rPr>
          <w:rFonts w:hint="eastAsia" w:ascii="仿宋" w:hAnsi="仿宋" w:eastAsia="仿宋"/>
          <w:sz w:val="32"/>
          <w:szCs w:val="32"/>
        </w:rPr>
        <w:t xml:space="preserve">.卫生健康支出（类）财政对基本医疗保险基金的补助（款）财政对职工基本医疗保险基金的补助（项）预算数为   </w:t>
      </w:r>
      <w:r>
        <w:rPr>
          <w:rFonts w:hint="eastAsia" w:ascii="仿宋" w:hAnsi="仿宋" w:eastAsia="仿宋"/>
          <w:sz w:val="32"/>
          <w:szCs w:val="32"/>
          <w:lang w:val="en-US" w:eastAsia="zh-CN"/>
        </w:rPr>
        <w:t>60.1</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lang w:val="en-US" w:eastAsia="zh-CN"/>
        </w:rPr>
        <w:t>22.85</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lang w:val="en-US" w:eastAsia="zh-CN"/>
        </w:rPr>
        <w:t>61.34</w:t>
      </w:r>
      <w:r>
        <w:rPr>
          <w:rFonts w:hint="eastAsia" w:ascii="仿宋" w:hAnsi="仿宋" w:eastAsia="仿宋"/>
          <w:sz w:val="32"/>
          <w:szCs w:val="32"/>
        </w:rPr>
        <w:t>%。主要是</w:t>
      </w:r>
      <w:r>
        <w:rPr>
          <w:rFonts w:hint="eastAsia" w:ascii="仿宋" w:hAnsi="仿宋" w:eastAsia="仿宋"/>
          <w:sz w:val="32"/>
          <w:szCs w:val="32"/>
          <w:lang w:eastAsia="zh-CN"/>
        </w:rPr>
        <w:t>人员工资上涨、人员增加、五险上涨</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rPr>
        <w:t>1</w:t>
      </w:r>
      <w:r>
        <w:rPr>
          <w:rFonts w:hint="eastAsia" w:ascii="仿宋" w:hAnsi="仿宋" w:eastAsia="仿宋"/>
          <w:sz w:val="32"/>
          <w:szCs w:val="32"/>
          <w:lang w:val="en-US" w:eastAsia="zh-CN"/>
        </w:rPr>
        <w:t>0</w:t>
      </w:r>
      <w:r>
        <w:rPr>
          <w:rFonts w:hint="eastAsia" w:ascii="仿宋" w:hAnsi="仿宋" w:eastAsia="仿宋"/>
          <w:sz w:val="32"/>
          <w:szCs w:val="32"/>
        </w:rPr>
        <w:t>.农林水支出（类）农业农村（款）其他农业农村支出（项）预算数为</w:t>
      </w:r>
      <w:r>
        <w:rPr>
          <w:rFonts w:hint="eastAsia" w:ascii="仿宋" w:hAnsi="仿宋" w:eastAsia="仿宋"/>
          <w:sz w:val="32"/>
          <w:szCs w:val="32"/>
          <w:lang w:val="en-US" w:eastAsia="zh-CN"/>
        </w:rPr>
        <w:t>42.41</w:t>
      </w:r>
      <w:r>
        <w:rPr>
          <w:rFonts w:hint="eastAsia" w:ascii="仿宋" w:hAnsi="仿宋" w:eastAsia="仿宋"/>
          <w:sz w:val="32"/>
          <w:szCs w:val="32"/>
        </w:rPr>
        <w:t>万元，比2023年执行数减少</w:t>
      </w:r>
      <w:r>
        <w:rPr>
          <w:rFonts w:hint="eastAsia" w:ascii="仿宋" w:hAnsi="仿宋" w:eastAsia="仿宋"/>
          <w:sz w:val="32"/>
          <w:szCs w:val="32"/>
          <w:lang w:val="en-US" w:eastAsia="zh-CN"/>
        </w:rPr>
        <w:t>0</w:t>
      </w:r>
      <w:r>
        <w:rPr>
          <w:rFonts w:hint="eastAsia" w:ascii="仿宋" w:hAnsi="仿宋" w:eastAsia="仿宋"/>
          <w:sz w:val="32"/>
          <w:szCs w:val="32"/>
        </w:rPr>
        <w:t>万元，下降</w:t>
      </w:r>
      <w:r>
        <w:rPr>
          <w:rFonts w:hint="eastAsia" w:ascii="仿宋" w:hAnsi="仿宋" w:eastAsia="仿宋"/>
          <w:sz w:val="32"/>
          <w:szCs w:val="32"/>
          <w:lang w:val="en-US" w:eastAsia="zh-CN"/>
        </w:rPr>
        <w:t>0</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rPr>
        <w:t>1</w:t>
      </w:r>
      <w:r>
        <w:rPr>
          <w:rFonts w:hint="eastAsia" w:ascii="仿宋" w:hAnsi="仿宋" w:eastAsia="仿宋"/>
          <w:sz w:val="32"/>
          <w:szCs w:val="32"/>
          <w:lang w:val="en-US" w:eastAsia="zh-CN"/>
        </w:rPr>
        <w:t>1</w:t>
      </w:r>
      <w:r>
        <w:rPr>
          <w:rFonts w:hint="eastAsia" w:ascii="仿宋" w:hAnsi="仿宋" w:eastAsia="仿宋"/>
          <w:sz w:val="32"/>
          <w:szCs w:val="32"/>
        </w:rPr>
        <w:t>.农林水支出（类）农村综合改革（款）其他农村综合改革支出（项）预算数为2410.9万元，比2023年执行数</w:t>
      </w:r>
      <w:r>
        <w:rPr>
          <w:rFonts w:hint="eastAsia" w:ascii="仿宋" w:hAnsi="仿宋" w:eastAsia="仿宋"/>
          <w:sz w:val="32"/>
          <w:szCs w:val="32"/>
          <w:lang w:eastAsia="zh-CN"/>
        </w:rPr>
        <w:t>增加</w:t>
      </w:r>
      <w:r>
        <w:rPr>
          <w:rFonts w:hint="eastAsia" w:ascii="仿宋" w:hAnsi="仿宋" w:eastAsia="仿宋"/>
          <w:sz w:val="32"/>
          <w:szCs w:val="32"/>
          <w:lang w:val="en-US" w:eastAsia="zh-CN"/>
        </w:rPr>
        <w:t>1922.9</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lang w:val="en-US" w:eastAsia="zh-CN"/>
        </w:rPr>
        <w:t>394.04</w:t>
      </w:r>
      <w:r>
        <w:rPr>
          <w:rFonts w:hint="eastAsia" w:ascii="仿宋" w:hAnsi="仿宋" w:eastAsia="仿宋"/>
          <w:sz w:val="32"/>
          <w:szCs w:val="32"/>
        </w:rPr>
        <w:t>%。主要是农村综合改革</w:t>
      </w:r>
      <w:r>
        <w:rPr>
          <w:rFonts w:hint="eastAsia" w:ascii="仿宋" w:hAnsi="仿宋" w:eastAsia="仿宋"/>
          <w:sz w:val="32"/>
          <w:szCs w:val="32"/>
          <w:lang w:eastAsia="zh-CN"/>
        </w:rPr>
        <w:t>科目调整</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rPr>
        <w:t>1</w:t>
      </w:r>
      <w:r>
        <w:rPr>
          <w:rFonts w:hint="eastAsia" w:ascii="仿宋" w:hAnsi="仿宋" w:eastAsia="仿宋"/>
          <w:sz w:val="32"/>
          <w:szCs w:val="32"/>
          <w:lang w:val="en-US" w:eastAsia="zh-CN"/>
        </w:rPr>
        <w:t>2</w:t>
      </w:r>
      <w:r>
        <w:rPr>
          <w:rFonts w:hint="eastAsia" w:ascii="仿宋" w:hAnsi="仿宋" w:eastAsia="仿宋"/>
          <w:sz w:val="32"/>
          <w:szCs w:val="32"/>
        </w:rPr>
        <w:t>.农林水支出（类）农村综合改革（款）对村集体经济组织的补助（项）预算数为</w:t>
      </w:r>
      <w:r>
        <w:rPr>
          <w:rFonts w:hint="eastAsia" w:ascii="仿宋" w:hAnsi="仿宋" w:eastAsia="仿宋"/>
          <w:sz w:val="32"/>
          <w:szCs w:val="32"/>
          <w:lang w:val="en-US" w:eastAsia="zh-CN"/>
        </w:rPr>
        <w:t>492.77</w:t>
      </w:r>
      <w:r>
        <w:rPr>
          <w:rFonts w:hint="eastAsia" w:ascii="仿宋" w:hAnsi="仿宋" w:eastAsia="仿宋"/>
          <w:sz w:val="32"/>
          <w:szCs w:val="32"/>
        </w:rPr>
        <w:t>万元，比2023年执行数减少</w:t>
      </w:r>
      <w:r>
        <w:rPr>
          <w:rFonts w:hint="eastAsia" w:ascii="仿宋" w:hAnsi="仿宋" w:eastAsia="仿宋"/>
          <w:sz w:val="32"/>
          <w:szCs w:val="32"/>
          <w:lang w:val="en-US" w:eastAsia="zh-CN"/>
        </w:rPr>
        <w:t>1488.11</w:t>
      </w:r>
      <w:r>
        <w:rPr>
          <w:rFonts w:hint="eastAsia" w:ascii="仿宋" w:hAnsi="仿宋" w:eastAsia="仿宋"/>
          <w:sz w:val="32"/>
          <w:szCs w:val="32"/>
        </w:rPr>
        <w:t>万元，下降</w:t>
      </w:r>
      <w:r>
        <w:rPr>
          <w:rFonts w:hint="eastAsia" w:ascii="仿宋" w:hAnsi="仿宋" w:eastAsia="仿宋"/>
          <w:sz w:val="32"/>
          <w:szCs w:val="32"/>
          <w:lang w:val="en-US" w:eastAsia="zh-CN"/>
        </w:rPr>
        <w:t>75.12</w:t>
      </w:r>
      <w:r>
        <w:rPr>
          <w:rFonts w:hint="eastAsia" w:ascii="仿宋" w:hAnsi="仿宋" w:eastAsia="仿宋"/>
          <w:sz w:val="32"/>
          <w:szCs w:val="32"/>
        </w:rPr>
        <w:t>%。主要是农村综合改革</w:t>
      </w:r>
      <w:r>
        <w:rPr>
          <w:rFonts w:hint="eastAsia" w:ascii="仿宋" w:hAnsi="仿宋" w:eastAsia="仿宋"/>
          <w:sz w:val="32"/>
          <w:szCs w:val="32"/>
          <w:lang w:eastAsia="zh-CN"/>
        </w:rPr>
        <w:t>科目调整</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rPr>
        <w:t>1</w:t>
      </w:r>
      <w:r>
        <w:rPr>
          <w:rFonts w:hint="eastAsia" w:ascii="仿宋" w:hAnsi="仿宋" w:eastAsia="仿宋"/>
          <w:sz w:val="32"/>
          <w:szCs w:val="32"/>
          <w:lang w:val="en-US" w:eastAsia="zh-CN"/>
        </w:rPr>
        <w:t>3</w:t>
      </w:r>
      <w:r>
        <w:rPr>
          <w:rFonts w:hint="eastAsia" w:ascii="仿宋" w:hAnsi="仿宋" w:eastAsia="仿宋"/>
          <w:sz w:val="32"/>
          <w:szCs w:val="32"/>
        </w:rPr>
        <w:t>.住房保障支出（类）住房改革支出（款）住房公积金（项）预算数为</w:t>
      </w:r>
      <w:r>
        <w:rPr>
          <w:rFonts w:hint="eastAsia" w:ascii="仿宋" w:hAnsi="仿宋" w:eastAsia="仿宋"/>
          <w:sz w:val="32"/>
          <w:szCs w:val="32"/>
          <w:lang w:val="en-US" w:eastAsia="zh-CN"/>
        </w:rPr>
        <w:t>80.85</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lang w:val="en-US" w:eastAsia="zh-CN"/>
        </w:rPr>
        <w:t>16.21</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lang w:val="en-US" w:eastAsia="zh-CN"/>
        </w:rPr>
        <w:t>25.08</w:t>
      </w:r>
      <w:r>
        <w:rPr>
          <w:rFonts w:hint="eastAsia" w:ascii="仿宋" w:hAnsi="仿宋" w:eastAsia="仿宋"/>
          <w:sz w:val="32"/>
          <w:szCs w:val="32"/>
        </w:rPr>
        <w:t>%。主要是</w:t>
      </w:r>
      <w:r>
        <w:rPr>
          <w:rFonts w:hint="eastAsia" w:ascii="仿宋" w:hAnsi="仿宋" w:eastAsia="仿宋"/>
          <w:sz w:val="32"/>
          <w:szCs w:val="32"/>
          <w:lang w:eastAsia="zh-CN"/>
        </w:rPr>
        <w:t>人员工资上涨、人员增加、公积金上涨</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人员经费956.8万元，主要包括：</w:t>
      </w:r>
      <w:r>
        <w:rPr>
          <w:rFonts w:ascii="仿宋" w:hAnsi="仿宋" w:eastAsia="仿宋"/>
          <w:sz w:val="32"/>
          <w:szCs w:val="32"/>
        </w:rPr>
        <w:t>工资性支出</w:t>
      </w:r>
      <w:r>
        <w:rPr>
          <w:rFonts w:hint="eastAsia" w:ascii="仿宋" w:hAnsi="仿宋" w:eastAsia="仿宋"/>
          <w:sz w:val="32"/>
          <w:szCs w:val="32"/>
        </w:rPr>
        <w:t>基本工资119.19</w:t>
      </w:r>
      <w:r>
        <w:rPr>
          <w:rFonts w:hint="eastAsia" w:ascii="仿宋" w:hAnsi="仿宋" w:eastAsia="仿宋"/>
          <w:sz w:val="32"/>
          <w:szCs w:val="32"/>
          <w:lang w:eastAsia="zh-CN"/>
        </w:rPr>
        <w:t>万元</w:t>
      </w:r>
      <w:r>
        <w:rPr>
          <w:rFonts w:hint="eastAsia" w:ascii="仿宋" w:hAnsi="仿宋" w:eastAsia="仿宋"/>
          <w:sz w:val="32"/>
          <w:szCs w:val="32"/>
        </w:rPr>
        <w:t>、津贴补贴409.29</w:t>
      </w:r>
      <w:r>
        <w:rPr>
          <w:rFonts w:hint="eastAsia" w:ascii="仿宋" w:hAnsi="仿宋" w:eastAsia="仿宋"/>
          <w:sz w:val="32"/>
          <w:szCs w:val="32"/>
          <w:lang w:eastAsia="zh-CN"/>
        </w:rPr>
        <w:t>万元</w:t>
      </w:r>
      <w:r>
        <w:rPr>
          <w:rFonts w:hint="eastAsia" w:ascii="仿宋" w:hAnsi="仿宋" w:eastAsia="仿宋"/>
          <w:sz w:val="32"/>
          <w:szCs w:val="32"/>
        </w:rPr>
        <w:t>、奖金44.04</w:t>
      </w:r>
      <w:r>
        <w:rPr>
          <w:rFonts w:hint="eastAsia" w:ascii="仿宋" w:hAnsi="仿宋" w:eastAsia="仿宋"/>
          <w:sz w:val="32"/>
          <w:szCs w:val="32"/>
          <w:lang w:eastAsia="zh-CN"/>
        </w:rPr>
        <w:t>万元</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rPr>
        <w:t>95.03</w:t>
      </w:r>
      <w:r>
        <w:rPr>
          <w:rFonts w:hint="eastAsia" w:ascii="仿宋" w:hAnsi="仿宋" w:eastAsia="仿宋"/>
          <w:sz w:val="32"/>
          <w:szCs w:val="32"/>
          <w:lang w:eastAsia="zh-CN"/>
        </w:rPr>
        <w:t>万元</w:t>
      </w:r>
      <w:r>
        <w:rPr>
          <w:rFonts w:hint="eastAsia" w:ascii="仿宋" w:hAnsi="仿宋" w:eastAsia="仿宋"/>
          <w:sz w:val="32"/>
          <w:szCs w:val="32"/>
        </w:rPr>
        <w:t>、</w:t>
      </w:r>
      <w:r>
        <w:rPr>
          <w:rFonts w:ascii="仿宋" w:hAnsi="仿宋" w:eastAsia="仿宋"/>
          <w:sz w:val="32"/>
          <w:szCs w:val="32"/>
        </w:rPr>
        <w:t>城镇职工基本医疗保险缴费</w:t>
      </w:r>
      <w:r>
        <w:rPr>
          <w:rFonts w:hint="eastAsia" w:ascii="仿宋" w:hAnsi="仿宋" w:eastAsia="仿宋"/>
          <w:sz w:val="32"/>
          <w:szCs w:val="32"/>
        </w:rPr>
        <w:t>60.1</w:t>
      </w:r>
      <w:r>
        <w:rPr>
          <w:rFonts w:hint="eastAsia" w:ascii="仿宋" w:hAnsi="仿宋" w:eastAsia="仿宋"/>
          <w:sz w:val="32"/>
          <w:szCs w:val="32"/>
          <w:lang w:eastAsia="zh-CN"/>
        </w:rPr>
        <w:t>万元</w:t>
      </w:r>
      <w:r>
        <w:rPr>
          <w:rFonts w:hint="eastAsia" w:ascii="仿宋" w:hAnsi="仿宋" w:eastAsia="仿宋"/>
          <w:sz w:val="32"/>
          <w:szCs w:val="32"/>
        </w:rPr>
        <w:t>、</w:t>
      </w:r>
      <w:r>
        <w:rPr>
          <w:rFonts w:ascii="仿宋" w:hAnsi="仿宋" w:eastAsia="仿宋"/>
          <w:sz w:val="32"/>
          <w:szCs w:val="32"/>
        </w:rPr>
        <w:t>公务员医疗补助</w:t>
      </w:r>
      <w:r>
        <w:rPr>
          <w:rFonts w:hint="eastAsia" w:ascii="仿宋" w:hAnsi="仿宋" w:eastAsia="仿宋"/>
          <w:sz w:val="32"/>
          <w:szCs w:val="32"/>
        </w:rPr>
        <w:t>11.72</w:t>
      </w:r>
      <w:r>
        <w:rPr>
          <w:rFonts w:hint="eastAsia" w:ascii="仿宋" w:hAnsi="仿宋" w:eastAsia="仿宋"/>
          <w:sz w:val="32"/>
          <w:szCs w:val="32"/>
          <w:lang w:eastAsia="zh-CN"/>
        </w:rPr>
        <w:t>万元</w:t>
      </w:r>
      <w:r>
        <w:rPr>
          <w:rFonts w:hint="eastAsia" w:ascii="仿宋" w:hAnsi="仿宋" w:eastAsia="仿宋"/>
          <w:sz w:val="32"/>
          <w:szCs w:val="32"/>
        </w:rPr>
        <w:t>、</w:t>
      </w:r>
      <w:r>
        <w:rPr>
          <w:rFonts w:ascii="仿宋" w:hAnsi="仿宋" w:eastAsia="仿宋"/>
          <w:sz w:val="32"/>
          <w:szCs w:val="32"/>
        </w:rPr>
        <w:t>其他社会保险缴费</w:t>
      </w:r>
      <w:r>
        <w:rPr>
          <w:rFonts w:hint="eastAsia" w:ascii="仿宋" w:hAnsi="仿宋" w:eastAsia="仿宋"/>
          <w:sz w:val="32"/>
          <w:szCs w:val="32"/>
        </w:rPr>
        <w:t>1.99</w:t>
      </w:r>
      <w:r>
        <w:rPr>
          <w:rFonts w:hint="eastAsia" w:ascii="仿宋" w:hAnsi="仿宋" w:eastAsia="仿宋"/>
          <w:sz w:val="32"/>
          <w:szCs w:val="32"/>
          <w:lang w:eastAsia="zh-CN"/>
        </w:rPr>
        <w:t>万元</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rPr>
        <w:t>134.59</w:t>
      </w:r>
      <w:r>
        <w:rPr>
          <w:rFonts w:hint="eastAsia" w:ascii="仿宋" w:hAnsi="仿宋" w:eastAsia="仿宋"/>
          <w:sz w:val="32"/>
          <w:szCs w:val="32"/>
          <w:lang w:eastAsia="zh-CN"/>
        </w:rPr>
        <w:t>万元</w:t>
      </w:r>
      <w:r>
        <w:rPr>
          <w:rFonts w:hint="eastAsia" w:ascii="仿宋" w:hAnsi="仿宋" w:eastAsia="仿宋"/>
          <w:sz w:val="32"/>
          <w:szCs w:val="32"/>
        </w:rPr>
        <w:t>、</w:t>
      </w:r>
      <w:r>
        <w:rPr>
          <w:rFonts w:ascii="仿宋" w:hAnsi="仿宋" w:eastAsia="仿宋"/>
          <w:sz w:val="32"/>
          <w:szCs w:val="32"/>
        </w:rPr>
        <w:t>住房公积金</w:t>
      </w:r>
      <w:r>
        <w:rPr>
          <w:rFonts w:hint="eastAsia" w:ascii="仿宋" w:hAnsi="仿宋" w:eastAsia="仿宋"/>
          <w:sz w:val="32"/>
          <w:szCs w:val="32"/>
        </w:rPr>
        <w:t>80.85</w:t>
      </w:r>
      <w:r>
        <w:rPr>
          <w:rFonts w:hint="eastAsia" w:ascii="仿宋" w:hAnsi="仿宋" w:eastAsia="仿宋"/>
          <w:sz w:val="32"/>
          <w:szCs w:val="32"/>
          <w:lang w:eastAsia="zh-CN"/>
        </w:rPr>
        <w:t>万元</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公用经费64.53万元，主要包括：</w:t>
      </w:r>
      <w:r>
        <w:rPr>
          <w:rFonts w:ascii="仿宋" w:hAnsi="仿宋" w:eastAsia="仿宋"/>
          <w:sz w:val="32"/>
          <w:szCs w:val="32"/>
        </w:rPr>
        <w:t>办公费</w:t>
      </w:r>
      <w:r>
        <w:rPr>
          <w:rFonts w:hint="eastAsia" w:ascii="仿宋" w:hAnsi="仿宋" w:eastAsia="仿宋"/>
          <w:sz w:val="32"/>
          <w:szCs w:val="32"/>
        </w:rPr>
        <w:t>20</w:t>
      </w:r>
      <w:r>
        <w:rPr>
          <w:rFonts w:hint="eastAsia" w:ascii="仿宋" w:hAnsi="仿宋" w:eastAsia="仿宋"/>
          <w:sz w:val="32"/>
          <w:szCs w:val="32"/>
          <w:lang w:eastAsia="zh-CN"/>
        </w:rPr>
        <w:t>万元</w:t>
      </w:r>
      <w:r>
        <w:rPr>
          <w:rFonts w:hint="eastAsia" w:ascii="仿宋" w:hAnsi="仿宋" w:eastAsia="仿宋"/>
          <w:sz w:val="32"/>
          <w:szCs w:val="32"/>
        </w:rPr>
        <w:t>、</w:t>
      </w:r>
      <w:r>
        <w:rPr>
          <w:rFonts w:ascii="仿宋" w:hAnsi="仿宋" w:eastAsia="仿宋"/>
          <w:sz w:val="32"/>
          <w:szCs w:val="32"/>
        </w:rPr>
        <w:t>印刷费</w:t>
      </w:r>
      <w:r>
        <w:rPr>
          <w:rFonts w:hint="eastAsia" w:ascii="仿宋" w:hAnsi="仿宋" w:eastAsia="仿宋"/>
          <w:sz w:val="32"/>
          <w:szCs w:val="32"/>
        </w:rPr>
        <w:t>、</w:t>
      </w:r>
      <w:r>
        <w:rPr>
          <w:rFonts w:ascii="仿宋" w:hAnsi="仿宋" w:eastAsia="仿宋"/>
          <w:sz w:val="32"/>
          <w:szCs w:val="32"/>
        </w:rPr>
        <w:t>咨询费</w:t>
      </w:r>
      <w:r>
        <w:rPr>
          <w:rFonts w:hint="eastAsia" w:ascii="仿宋" w:hAnsi="仿宋" w:eastAsia="仿宋"/>
          <w:sz w:val="32"/>
          <w:szCs w:val="32"/>
        </w:rPr>
        <w:t>、</w:t>
      </w:r>
      <w:r>
        <w:rPr>
          <w:rFonts w:ascii="仿宋" w:hAnsi="仿宋" w:eastAsia="仿宋"/>
          <w:sz w:val="32"/>
          <w:szCs w:val="32"/>
        </w:rPr>
        <w:t>手续费</w:t>
      </w:r>
      <w:r>
        <w:rPr>
          <w:rFonts w:hint="eastAsia" w:ascii="仿宋" w:hAnsi="仿宋" w:eastAsia="仿宋"/>
          <w:sz w:val="32"/>
          <w:szCs w:val="32"/>
        </w:rPr>
        <w:t>、</w:t>
      </w:r>
      <w:r>
        <w:rPr>
          <w:rFonts w:ascii="仿宋" w:hAnsi="仿宋" w:eastAsia="仿宋"/>
          <w:sz w:val="32"/>
          <w:szCs w:val="32"/>
        </w:rPr>
        <w:t>水费</w:t>
      </w:r>
      <w:r>
        <w:rPr>
          <w:rFonts w:hint="eastAsia" w:ascii="仿宋" w:hAnsi="仿宋" w:eastAsia="仿宋"/>
          <w:sz w:val="32"/>
          <w:szCs w:val="32"/>
        </w:rPr>
        <w:t>0.1</w:t>
      </w:r>
      <w:r>
        <w:rPr>
          <w:rFonts w:hint="eastAsia" w:ascii="仿宋" w:hAnsi="仿宋" w:eastAsia="仿宋"/>
          <w:sz w:val="32"/>
          <w:szCs w:val="32"/>
          <w:lang w:eastAsia="zh-CN"/>
        </w:rPr>
        <w:t>万元</w:t>
      </w:r>
      <w:r>
        <w:rPr>
          <w:rFonts w:hint="eastAsia" w:ascii="仿宋" w:hAnsi="仿宋" w:eastAsia="仿宋"/>
          <w:sz w:val="32"/>
          <w:szCs w:val="32"/>
        </w:rPr>
        <w:t>、</w:t>
      </w:r>
      <w:r>
        <w:rPr>
          <w:rFonts w:ascii="仿宋" w:hAnsi="仿宋" w:eastAsia="仿宋"/>
          <w:sz w:val="32"/>
          <w:szCs w:val="32"/>
        </w:rPr>
        <w:t>电费</w:t>
      </w:r>
      <w:r>
        <w:rPr>
          <w:rFonts w:hint="eastAsia" w:ascii="仿宋" w:hAnsi="仿宋" w:eastAsia="仿宋"/>
          <w:sz w:val="32"/>
          <w:szCs w:val="32"/>
        </w:rPr>
        <w:t>2.15</w:t>
      </w:r>
      <w:r>
        <w:rPr>
          <w:rFonts w:hint="eastAsia" w:ascii="仿宋" w:hAnsi="仿宋" w:eastAsia="仿宋"/>
          <w:sz w:val="32"/>
          <w:szCs w:val="32"/>
          <w:lang w:eastAsia="zh-CN"/>
        </w:rPr>
        <w:t>万元</w:t>
      </w:r>
      <w:r>
        <w:rPr>
          <w:rFonts w:hint="eastAsia" w:ascii="仿宋" w:hAnsi="仿宋" w:eastAsia="仿宋"/>
          <w:sz w:val="32"/>
          <w:szCs w:val="32"/>
        </w:rPr>
        <w:t>、</w:t>
      </w:r>
      <w:r>
        <w:rPr>
          <w:rFonts w:ascii="仿宋" w:hAnsi="仿宋" w:eastAsia="仿宋"/>
          <w:sz w:val="32"/>
          <w:szCs w:val="32"/>
        </w:rPr>
        <w:t>邮电费</w:t>
      </w:r>
      <w:r>
        <w:rPr>
          <w:rFonts w:hint="eastAsia" w:ascii="仿宋" w:hAnsi="仿宋" w:eastAsia="仿宋"/>
          <w:sz w:val="32"/>
          <w:szCs w:val="32"/>
          <w:lang w:val="en-US" w:eastAsia="zh-CN"/>
        </w:rPr>
        <w:t>3万元</w:t>
      </w:r>
      <w:r>
        <w:rPr>
          <w:rFonts w:hint="eastAsia" w:ascii="仿宋" w:hAnsi="仿宋" w:eastAsia="仿宋"/>
          <w:sz w:val="32"/>
          <w:szCs w:val="32"/>
        </w:rPr>
        <w:t>、</w:t>
      </w:r>
      <w:r>
        <w:rPr>
          <w:rFonts w:ascii="仿宋" w:hAnsi="仿宋" w:eastAsia="仿宋"/>
          <w:sz w:val="32"/>
          <w:szCs w:val="32"/>
        </w:rPr>
        <w:t>差旅费</w:t>
      </w:r>
      <w:r>
        <w:rPr>
          <w:rFonts w:hint="eastAsia" w:ascii="仿宋" w:hAnsi="仿宋" w:eastAsia="仿宋"/>
          <w:sz w:val="32"/>
          <w:szCs w:val="32"/>
        </w:rPr>
        <w:t>8.5</w:t>
      </w:r>
      <w:r>
        <w:rPr>
          <w:rFonts w:hint="eastAsia" w:ascii="仿宋" w:hAnsi="仿宋" w:eastAsia="仿宋"/>
          <w:sz w:val="32"/>
          <w:szCs w:val="32"/>
          <w:lang w:eastAsia="zh-CN"/>
        </w:rPr>
        <w:t>万元</w:t>
      </w:r>
      <w:r>
        <w:rPr>
          <w:rFonts w:hint="eastAsia" w:ascii="仿宋" w:hAnsi="仿宋" w:eastAsia="仿宋"/>
          <w:sz w:val="32"/>
          <w:szCs w:val="32"/>
        </w:rPr>
        <w:t>、</w:t>
      </w:r>
      <w:r>
        <w:rPr>
          <w:rFonts w:ascii="仿宋" w:hAnsi="仿宋" w:eastAsia="仿宋"/>
          <w:sz w:val="32"/>
          <w:szCs w:val="32"/>
        </w:rPr>
        <w:t>福利费</w:t>
      </w:r>
      <w:r>
        <w:rPr>
          <w:rFonts w:hint="eastAsia" w:ascii="仿宋" w:hAnsi="仿宋" w:eastAsia="仿宋"/>
          <w:sz w:val="32"/>
          <w:szCs w:val="32"/>
        </w:rPr>
        <w:t>0.2</w:t>
      </w:r>
      <w:r>
        <w:rPr>
          <w:rFonts w:hint="eastAsia" w:ascii="仿宋" w:hAnsi="仿宋" w:eastAsia="仿宋"/>
          <w:sz w:val="32"/>
          <w:szCs w:val="32"/>
          <w:lang w:eastAsia="zh-CN"/>
        </w:rPr>
        <w:t>万元</w:t>
      </w:r>
      <w:r>
        <w:rPr>
          <w:rFonts w:hint="eastAsia" w:ascii="仿宋" w:hAnsi="仿宋" w:eastAsia="仿宋"/>
          <w:sz w:val="32"/>
          <w:szCs w:val="32"/>
        </w:rPr>
        <w:t>、</w:t>
      </w:r>
      <w:r>
        <w:rPr>
          <w:rFonts w:ascii="仿宋" w:hAnsi="仿宋" w:eastAsia="仿宋"/>
          <w:sz w:val="32"/>
          <w:szCs w:val="32"/>
        </w:rPr>
        <w:t>公务用车运行维护费</w:t>
      </w:r>
      <w:r>
        <w:rPr>
          <w:rFonts w:hint="eastAsia" w:ascii="仿宋" w:hAnsi="仿宋" w:eastAsia="仿宋"/>
          <w:sz w:val="32"/>
          <w:szCs w:val="32"/>
        </w:rPr>
        <w:t>0.6</w:t>
      </w:r>
      <w:r>
        <w:rPr>
          <w:rFonts w:hint="eastAsia" w:ascii="仿宋" w:hAnsi="仿宋" w:eastAsia="仿宋"/>
          <w:sz w:val="32"/>
          <w:szCs w:val="32"/>
          <w:lang w:eastAsia="zh-CN"/>
        </w:rPr>
        <w:t>万元</w:t>
      </w:r>
      <w:r>
        <w:rPr>
          <w:rFonts w:hint="eastAsia" w:ascii="仿宋" w:hAnsi="仿宋" w:eastAsia="仿宋"/>
          <w:sz w:val="32"/>
          <w:szCs w:val="32"/>
        </w:rPr>
        <w:t>、</w:t>
      </w:r>
      <w:r>
        <w:rPr>
          <w:rFonts w:ascii="仿宋" w:hAnsi="仿宋" w:eastAsia="仿宋"/>
          <w:sz w:val="32"/>
          <w:szCs w:val="32"/>
        </w:rPr>
        <w:t>其他商品和服务支出</w:t>
      </w:r>
      <w:r>
        <w:rPr>
          <w:rFonts w:hint="eastAsia" w:ascii="仿宋" w:hAnsi="仿宋" w:eastAsia="仿宋"/>
          <w:sz w:val="32"/>
          <w:szCs w:val="32"/>
        </w:rPr>
        <w:t>16.45</w:t>
      </w:r>
      <w:r>
        <w:rPr>
          <w:rFonts w:hint="eastAsia" w:ascii="仿宋" w:hAnsi="仿宋" w:eastAsia="仿宋"/>
          <w:sz w:val="32"/>
          <w:szCs w:val="32"/>
          <w:lang w:eastAsia="zh-CN"/>
        </w:rPr>
        <w:t>万元</w:t>
      </w:r>
      <w:r>
        <w:rPr>
          <w:rFonts w:hint="eastAsia" w:ascii="仿宋" w:hAnsi="仿宋" w:eastAsia="仿宋"/>
          <w:sz w:val="32"/>
          <w:szCs w:val="32"/>
        </w:rPr>
        <w:t>、</w:t>
      </w:r>
      <w:r>
        <w:rPr>
          <w:rFonts w:ascii="仿宋" w:hAnsi="仿宋" w:eastAsia="仿宋"/>
          <w:sz w:val="32"/>
          <w:szCs w:val="32"/>
        </w:rPr>
        <w:t>工会经费</w:t>
      </w:r>
      <w:r>
        <w:rPr>
          <w:rFonts w:hint="eastAsia" w:ascii="仿宋" w:hAnsi="仿宋" w:eastAsia="仿宋"/>
          <w:sz w:val="32"/>
          <w:szCs w:val="32"/>
        </w:rPr>
        <w:t>13.53</w:t>
      </w:r>
      <w:r>
        <w:rPr>
          <w:rFonts w:hint="eastAsia" w:ascii="仿宋" w:hAnsi="仿宋" w:eastAsia="仿宋"/>
          <w:sz w:val="32"/>
          <w:szCs w:val="32"/>
          <w:lang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ind w:firstLine="640" w:firstLineChars="200"/>
        <w:rPr>
          <w:rFonts w:hint="eastAsia" w:ascii="仿宋" w:hAnsi="仿宋" w:eastAsia="仿宋"/>
          <w:sz w:val="32"/>
          <w:szCs w:val="32"/>
        </w:rPr>
      </w:pPr>
      <w:r>
        <w:rPr>
          <w:rFonts w:hint="eastAsia" w:ascii="仿宋" w:hAnsi="仿宋" w:eastAsia="仿宋"/>
          <w:sz w:val="32"/>
          <w:szCs w:val="32"/>
        </w:rPr>
        <w:t>2024年“三公”经费预算数为0.6万元，其中：因公出国（境）费</w:t>
      </w:r>
      <w:r>
        <w:rPr>
          <w:rFonts w:hint="eastAsia" w:ascii="仿宋" w:hAnsi="仿宋" w:eastAsia="仿宋"/>
          <w:sz w:val="32"/>
          <w:szCs w:val="32"/>
          <w:lang w:val="en-US" w:eastAsia="zh-CN"/>
        </w:rPr>
        <w:t>0</w:t>
      </w:r>
      <w:r>
        <w:rPr>
          <w:rFonts w:hint="eastAsia" w:ascii="仿宋" w:hAnsi="仿宋" w:eastAsia="仿宋"/>
          <w:sz w:val="32"/>
          <w:szCs w:val="32"/>
        </w:rPr>
        <w:t>万元，公务用车购置</w:t>
      </w:r>
      <w:r>
        <w:rPr>
          <w:rFonts w:hint="eastAsia" w:ascii="仿宋" w:hAnsi="仿宋" w:eastAsia="仿宋"/>
          <w:sz w:val="32"/>
          <w:szCs w:val="32"/>
          <w:lang w:val="en-US" w:eastAsia="zh-CN"/>
        </w:rPr>
        <w:t>0</w:t>
      </w:r>
      <w:r>
        <w:rPr>
          <w:rFonts w:hint="eastAsia" w:ascii="仿宋" w:hAnsi="仿宋" w:eastAsia="仿宋"/>
          <w:sz w:val="32"/>
          <w:szCs w:val="32"/>
        </w:rPr>
        <w:t>万元，公车</w:t>
      </w:r>
      <w:r>
        <w:rPr>
          <w:rFonts w:hint="eastAsia" w:ascii="仿宋" w:hAnsi="仿宋" w:eastAsia="仿宋"/>
          <w:sz w:val="32"/>
          <w:szCs w:val="32"/>
        </w:rPr>
        <w:t>运行费</w:t>
      </w:r>
      <w:r>
        <w:rPr>
          <w:rFonts w:hint="eastAsia" w:ascii="仿宋" w:hAnsi="仿宋" w:eastAsia="仿宋"/>
          <w:sz w:val="32"/>
          <w:szCs w:val="32"/>
          <w:lang w:val="en-US" w:eastAsia="zh-CN"/>
        </w:rPr>
        <w:t>0.6</w:t>
      </w:r>
      <w:r>
        <w:rPr>
          <w:rFonts w:hint="eastAsia" w:ascii="仿宋" w:hAnsi="仿宋" w:eastAsia="仿宋"/>
          <w:sz w:val="32"/>
          <w:szCs w:val="32"/>
        </w:rPr>
        <w:t>万元，公务接待费</w:t>
      </w:r>
      <w:r>
        <w:rPr>
          <w:rFonts w:hint="eastAsia" w:ascii="仿宋" w:hAnsi="仿宋" w:eastAsia="仿宋"/>
          <w:sz w:val="32"/>
          <w:szCs w:val="32"/>
          <w:lang w:val="en-US" w:eastAsia="zh-CN"/>
        </w:rPr>
        <w:t>0</w:t>
      </w:r>
      <w:r>
        <w:rPr>
          <w:rFonts w:hint="eastAsia" w:ascii="仿宋" w:hAnsi="仿宋" w:eastAsia="仿宋"/>
          <w:sz w:val="32"/>
          <w:szCs w:val="32"/>
        </w:rPr>
        <w:t>万元。“三公”经费预算比2023年减少</w:t>
      </w:r>
      <w:r>
        <w:rPr>
          <w:rFonts w:hint="eastAsia" w:ascii="仿宋" w:hAnsi="仿宋" w:eastAsia="仿宋"/>
          <w:sz w:val="32"/>
          <w:szCs w:val="32"/>
          <w:lang w:val="en-US" w:eastAsia="zh-CN"/>
        </w:rPr>
        <w:t>1.4</w:t>
      </w:r>
      <w:r>
        <w:rPr>
          <w:rFonts w:hint="eastAsia" w:ascii="仿宋" w:hAnsi="仿宋" w:eastAsia="仿宋"/>
          <w:sz w:val="32"/>
          <w:szCs w:val="32"/>
        </w:rPr>
        <w:t>万元，压缩</w:t>
      </w:r>
      <w:r>
        <w:rPr>
          <w:rFonts w:hint="eastAsia" w:ascii="仿宋" w:hAnsi="仿宋" w:eastAsia="仿宋"/>
          <w:sz w:val="32"/>
          <w:szCs w:val="32"/>
          <w:lang w:val="en-US" w:eastAsia="zh-CN"/>
        </w:rPr>
        <w:t>70</w:t>
      </w:r>
      <w:r>
        <w:rPr>
          <w:rFonts w:hint="eastAsia" w:ascii="仿宋" w:hAnsi="仿宋" w:eastAsia="仿宋"/>
          <w:sz w:val="32"/>
          <w:szCs w:val="32"/>
        </w:rPr>
        <w:t>%，主要原因是</w:t>
      </w:r>
      <w:r>
        <w:rPr>
          <w:rFonts w:hint="eastAsia" w:ascii="仿宋" w:hAnsi="仿宋" w:eastAsia="仿宋"/>
          <w:sz w:val="32"/>
          <w:szCs w:val="32"/>
          <w:lang w:eastAsia="zh-CN"/>
        </w:rPr>
        <w:t>公务用车需求减少</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rPr>
        <w:t>2024年因公出国（境）</w:t>
      </w:r>
      <w:r>
        <w:rPr>
          <w:rFonts w:hint="eastAsia" w:ascii="仿宋" w:hAnsi="仿宋" w:eastAsia="仿宋"/>
          <w:sz w:val="32"/>
          <w:szCs w:val="32"/>
          <w:lang w:val="en-US" w:eastAsia="zh-CN"/>
        </w:rPr>
        <w:t>0</w:t>
      </w:r>
      <w:r>
        <w:rPr>
          <w:rFonts w:hint="eastAsia" w:ascii="仿宋" w:hAnsi="仿宋" w:eastAsia="仿宋"/>
          <w:sz w:val="32"/>
          <w:szCs w:val="32"/>
        </w:rPr>
        <w:t>个团组、</w:t>
      </w:r>
      <w:r>
        <w:rPr>
          <w:rFonts w:hint="eastAsia" w:ascii="仿宋" w:hAnsi="仿宋" w:eastAsia="仿宋"/>
          <w:sz w:val="32"/>
          <w:szCs w:val="32"/>
          <w:lang w:val="en-US" w:eastAsia="zh-CN"/>
        </w:rPr>
        <w:t>0</w:t>
      </w:r>
      <w:r>
        <w:rPr>
          <w:rFonts w:hint="eastAsia" w:ascii="仿宋" w:hAnsi="仿宋" w:eastAsia="仿宋"/>
          <w:sz w:val="32"/>
          <w:szCs w:val="32"/>
        </w:rPr>
        <w:t xml:space="preserve">人，公务用车购置 </w:t>
      </w:r>
      <w:r>
        <w:rPr>
          <w:rFonts w:hint="eastAsia" w:ascii="仿宋" w:hAnsi="仿宋" w:eastAsia="仿宋"/>
          <w:sz w:val="32"/>
          <w:szCs w:val="32"/>
          <w:lang w:val="en-US" w:eastAsia="zh-CN"/>
        </w:rPr>
        <w:t>0</w:t>
      </w:r>
      <w:r>
        <w:rPr>
          <w:rFonts w:hint="eastAsia" w:ascii="仿宋" w:hAnsi="仿宋" w:eastAsia="仿宋"/>
          <w:sz w:val="32"/>
          <w:szCs w:val="32"/>
        </w:rPr>
        <w:t>辆、保有</w:t>
      </w:r>
      <w:r>
        <w:rPr>
          <w:rFonts w:hint="eastAsia" w:ascii="仿宋" w:hAnsi="仿宋" w:eastAsia="仿宋"/>
          <w:sz w:val="32"/>
          <w:szCs w:val="32"/>
          <w:lang w:val="en-US" w:eastAsia="zh-CN"/>
        </w:rPr>
        <w:t>0</w:t>
      </w:r>
      <w:r>
        <w:rPr>
          <w:rFonts w:hint="eastAsia" w:ascii="仿宋" w:hAnsi="仿宋" w:eastAsia="仿宋"/>
          <w:sz w:val="32"/>
          <w:szCs w:val="32"/>
        </w:rPr>
        <w:t>量，国内公务接待</w:t>
      </w:r>
      <w:r>
        <w:rPr>
          <w:rFonts w:hint="eastAsia" w:ascii="仿宋" w:hAnsi="仿宋" w:eastAsia="仿宋"/>
          <w:sz w:val="32"/>
          <w:szCs w:val="32"/>
          <w:lang w:val="en-US" w:eastAsia="zh-CN"/>
        </w:rPr>
        <w:t>0</w:t>
      </w:r>
      <w:r>
        <w:rPr>
          <w:rFonts w:hint="eastAsia" w:ascii="仿宋" w:hAnsi="仿宋" w:eastAsia="仿宋"/>
          <w:sz w:val="32"/>
          <w:szCs w:val="32"/>
        </w:rPr>
        <w:t>批次、</w:t>
      </w:r>
      <w:r>
        <w:rPr>
          <w:rFonts w:hint="eastAsia" w:ascii="仿宋" w:hAnsi="仿宋" w:eastAsia="仿宋"/>
          <w:sz w:val="32"/>
          <w:szCs w:val="32"/>
          <w:lang w:val="en-US" w:eastAsia="zh-CN"/>
        </w:rPr>
        <w:t>0</w:t>
      </w:r>
      <w:r>
        <w:rPr>
          <w:rFonts w:hint="eastAsia" w:ascii="仿宋" w:hAnsi="仿宋" w:eastAsia="仿宋"/>
          <w:sz w:val="32"/>
          <w:szCs w:val="32"/>
        </w:rPr>
        <w:t>人。</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ascii="仿宋" w:hAnsi="仿宋" w:eastAsia="仿宋"/>
          <w:sz w:val="32"/>
          <w:szCs w:val="32"/>
        </w:rPr>
      </w:pPr>
      <w:r>
        <w:rPr>
          <w:rFonts w:hint="eastAsia" w:ascii="仿宋" w:hAnsi="仿宋" w:eastAsia="仿宋"/>
          <w:sz w:val="32"/>
          <w:szCs w:val="32"/>
        </w:rPr>
        <w:t>例如</w:t>
      </w:r>
      <w:r>
        <w:rPr>
          <w:rFonts w:ascii="仿宋" w:hAnsi="仿宋" w:eastAsia="仿宋"/>
          <w:sz w:val="32"/>
          <w:szCs w:val="32"/>
        </w:rPr>
        <w:t>：</w:t>
      </w:r>
      <w:r>
        <w:rPr>
          <w:rFonts w:hint="eastAsia" w:ascii="仿宋" w:hAnsi="仿宋" w:eastAsia="仿宋"/>
          <w:sz w:val="32"/>
          <w:szCs w:val="32"/>
        </w:rPr>
        <w:t>政府性基金预算当年拨款</w:t>
      </w:r>
      <w:r>
        <w:rPr>
          <w:rFonts w:hint="eastAsia" w:ascii="仿宋" w:hAnsi="仿宋" w:eastAsia="仿宋"/>
          <w:sz w:val="32"/>
          <w:szCs w:val="32"/>
          <w:lang w:val="en-US" w:eastAsia="zh-CN"/>
        </w:rPr>
        <w:t>0</w:t>
      </w:r>
      <w:r>
        <w:rPr>
          <w:rFonts w:hint="eastAsia" w:ascii="仿宋" w:hAnsi="仿宋" w:eastAsia="仿宋"/>
          <w:sz w:val="32"/>
          <w:szCs w:val="32"/>
        </w:rPr>
        <w:t>万元,比2023年执行数减少</w:t>
      </w:r>
      <w:r>
        <w:rPr>
          <w:rFonts w:hint="eastAsia" w:ascii="仿宋" w:hAnsi="仿宋" w:eastAsia="仿宋"/>
          <w:sz w:val="32"/>
          <w:szCs w:val="32"/>
          <w:lang w:val="en-US" w:eastAsia="zh-CN"/>
        </w:rPr>
        <w:t>0</w:t>
      </w:r>
      <w:r>
        <w:rPr>
          <w:rFonts w:hint="eastAsia" w:ascii="仿宋" w:hAnsi="仿宋" w:eastAsia="仿宋"/>
          <w:sz w:val="32"/>
          <w:szCs w:val="32"/>
        </w:rPr>
        <w:t>万元</w:t>
      </w:r>
      <w:r>
        <w:rPr>
          <w:rFonts w:hint="eastAsia" w:ascii="仿宋" w:hAnsi="仿宋" w:eastAsia="仿宋"/>
          <w:sz w:val="32"/>
          <w:szCs w:val="32"/>
          <w:lang w:eastAsia="zh-CN"/>
        </w:rPr>
        <w:t>，</w:t>
      </w:r>
      <w:r>
        <w:rPr>
          <w:rFonts w:hint="eastAsia" w:ascii="仿宋" w:hAnsi="仿宋" w:eastAsia="仿宋"/>
          <w:sz w:val="32"/>
          <w:szCs w:val="32"/>
        </w:rPr>
        <w:t>我部门2024年度没有政府性基金安排的支出</w:t>
      </w:r>
      <w:r>
        <w:rPr>
          <w:rFonts w:hint="eastAsia" w:ascii="仿宋_GB2312" w:eastAsia="仿宋_GB2312" w:cs="仿宋_GB2312" w:hAnsiTheme="minorHAnsi"/>
          <w:kern w:val="0"/>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ascii="仿宋" w:hAnsi="仿宋" w:eastAsia="仿宋"/>
          <w:sz w:val="32"/>
          <w:szCs w:val="32"/>
        </w:rPr>
      </w:pPr>
      <w:r>
        <w:rPr>
          <w:rFonts w:hint="eastAsia" w:ascii="仿宋" w:hAnsi="仿宋" w:eastAsia="仿宋"/>
          <w:sz w:val="32"/>
          <w:szCs w:val="32"/>
        </w:rPr>
        <w:t>“三公”经费预算数为</w:t>
      </w:r>
      <w:r>
        <w:rPr>
          <w:rFonts w:hint="eastAsia" w:ascii="仿宋" w:hAnsi="仿宋" w:eastAsia="仿宋"/>
          <w:sz w:val="32"/>
          <w:szCs w:val="32"/>
          <w:lang w:val="en-US" w:eastAsia="zh-CN"/>
        </w:rPr>
        <w:t>0</w:t>
      </w:r>
      <w:r>
        <w:rPr>
          <w:rFonts w:hint="eastAsia" w:ascii="仿宋" w:hAnsi="仿宋" w:eastAsia="仿宋"/>
          <w:sz w:val="32"/>
          <w:szCs w:val="32"/>
        </w:rPr>
        <w:t>万元，其中：因公出国（境）费</w:t>
      </w:r>
      <w:r>
        <w:rPr>
          <w:rFonts w:hint="eastAsia" w:ascii="仿宋" w:hAnsi="仿宋" w:eastAsia="仿宋"/>
          <w:sz w:val="32"/>
          <w:szCs w:val="32"/>
          <w:lang w:val="en-US" w:eastAsia="zh-CN"/>
        </w:rPr>
        <w:t>0</w:t>
      </w:r>
      <w:r>
        <w:rPr>
          <w:rFonts w:hint="eastAsia" w:ascii="仿宋" w:hAnsi="仿宋" w:eastAsia="仿宋"/>
          <w:sz w:val="32"/>
          <w:szCs w:val="32"/>
        </w:rPr>
        <w:t>万元，公务用车购置及运行费</w:t>
      </w:r>
      <w:r>
        <w:rPr>
          <w:rFonts w:hint="eastAsia" w:ascii="仿宋" w:hAnsi="仿宋" w:eastAsia="仿宋"/>
          <w:sz w:val="32"/>
          <w:szCs w:val="32"/>
          <w:lang w:val="en-US" w:eastAsia="zh-CN"/>
        </w:rPr>
        <w:t>0</w:t>
      </w:r>
      <w:r>
        <w:rPr>
          <w:rFonts w:hint="eastAsia" w:ascii="仿宋" w:hAnsi="仿宋" w:eastAsia="仿宋"/>
          <w:sz w:val="32"/>
          <w:szCs w:val="32"/>
        </w:rPr>
        <w:t>万元，公务接待费</w:t>
      </w:r>
      <w:r>
        <w:rPr>
          <w:rFonts w:hint="eastAsia" w:ascii="仿宋" w:hAnsi="仿宋" w:eastAsia="仿宋"/>
          <w:sz w:val="32"/>
          <w:szCs w:val="32"/>
          <w:lang w:val="en-US" w:eastAsia="zh-CN"/>
        </w:rPr>
        <w:t>0</w:t>
      </w:r>
      <w:r>
        <w:rPr>
          <w:rFonts w:hint="eastAsia" w:ascii="仿宋" w:hAnsi="仿宋" w:eastAsia="仿宋"/>
          <w:sz w:val="32"/>
          <w:szCs w:val="32"/>
        </w:rPr>
        <w:t>万元。“三公”经费预算比2023年减少（增加）</w:t>
      </w:r>
      <w:r>
        <w:rPr>
          <w:rFonts w:hint="eastAsia" w:ascii="仿宋" w:hAnsi="仿宋" w:eastAsia="仿宋"/>
          <w:sz w:val="32"/>
          <w:szCs w:val="32"/>
          <w:lang w:val="en-US" w:eastAsia="zh-CN"/>
        </w:rPr>
        <w:t>0</w:t>
      </w:r>
      <w:r>
        <w:rPr>
          <w:rFonts w:hint="eastAsia" w:ascii="仿宋" w:hAnsi="仿宋" w:eastAsia="仿宋"/>
          <w:sz w:val="32"/>
          <w:szCs w:val="32"/>
        </w:rPr>
        <w:t>万元，压缩（增长）</w:t>
      </w:r>
      <w:r>
        <w:rPr>
          <w:rFonts w:hint="eastAsia" w:ascii="仿宋" w:hAnsi="仿宋" w:eastAsia="仿宋"/>
          <w:sz w:val="32"/>
          <w:szCs w:val="32"/>
          <w:lang w:val="en-US" w:eastAsia="zh-CN"/>
        </w:rPr>
        <w:t>0</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因公出国（境）</w:t>
      </w:r>
      <w:r>
        <w:rPr>
          <w:rFonts w:hint="eastAsia" w:ascii="仿宋" w:hAnsi="仿宋" w:eastAsia="仿宋"/>
          <w:sz w:val="32"/>
          <w:szCs w:val="32"/>
          <w:lang w:val="en-US" w:eastAsia="zh-CN"/>
        </w:rPr>
        <w:t>0</w:t>
      </w:r>
      <w:r>
        <w:rPr>
          <w:rFonts w:hint="eastAsia" w:ascii="仿宋" w:hAnsi="仿宋" w:eastAsia="仿宋"/>
          <w:sz w:val="32"/>
          <w:szCs w:val="32"/>
        </w:rPr>
        <w:t>个团组、</w:t>
      </w:r>
      <w:r>
        <w:rPr>
          <w:rFonts w:hint="eastAsia" w:ascii="仿宋" w:hAnsi="仿宋" w:eastAsia="仿宋"/>
          <w:sz w:val="32"/>
          <w:szCs w:val="32"/>
          <w:lang w:val="en-US" w:eastAsia="zh-CN"/>
        </w:rPr>
        <w:t>0</w:t>
      </w:r>
      <w:r>
        <w:rPr>
          <w:rFonts w:hint="eastAsia" w:ascii="仿宋" w:hAnsi="仿宋" w:eastAsia="仿宋"/>
          <w:sz w:val="32"/>
          <w:szCs w:val="32"/>
        </w:rPr>
        <w:t>人，公务用车购置</w:t>
      </w:r>
      <w:r>
        <w:rPr>
          <w:rFonts w:hint="eastAsia" w:ascii="仿宋" w:hAnsi="仿宋" w:eastAsia="仿宋"/>
          <w:sz w:val="32"/>
          <w:szCs w:val="32"/>
          <w:lang w:val="en-US" w:eastAsia="zh-CN"/>
        </w:rPr>
        <w:t>0</w:t>
      </w:r>
      <w:r>
        <w:rPr>
          <w:rFonts w:hint="eastAsia" w:ascii="仿宋" w:hAnsi="仿宋" w:eastAsia="仿宋"/>
          <w:sz w:val="32"/>
          <w:szCs w:val="32"/>
        </w:rPr>
        <w:t>辆、保有</w:t>
      </w:r>
      <w:r>
        <w:rPr>
          <w:rFonts w:hint="eastAsia" w:ascii="仿宋" w:hAnsi="仿宋" w:eastAsia="仿宋"/>
          <w:sz w:val="32"/>
          <w:szCs w:val="32"/>
          <w:lang w:val="en-US" w:eastAsia="zh-CN"/>
        </w:rPr>
        <w:t>0</w:t>
      </w:r>
      <w:r>
        <w:rPr>
          <w:rFonts w:hint="eastAsia" w:ascii="仿宋" w:hAnsi="仿宋" w:eastAsia="仿宋"/>
          <w:sz w:val="32"/>
          <w:szCs w:val="32"/>
        </w:rPr>
        <w:t>量，国内公务接待</w:t>
      </w:r>
      <w:r>
        <w:rPr>
          <w:rFonts w:hint="eastAsia" w:ascii="仿宋" w:hAnsi="仿宋" w:eastAsia="仿宋"/>
          <w:sz w:val="32"/>
          <w:szCs w:val="32"/>
          <w:lang w:val="en-US" w:eastAsia="zh-CN"/>
        </w:rPr>
        <w:t>0</w:t>
      </w:r>
      <w:r>
        <w:rPr>
          <w:rFonts w:hint="eastAsia" w:ascii="仿宋" w:hAnsi="仿宋" w:eastAsia="仿宋"/>
          <w:sz w:val="32"/>
          <w:szCs w:val="32"/>
        </w:rPr>
        <w:t>批次、</w:t>
      </w:r>
      <w:r>
        <w:rPr>
          <w:rFonts w:hint="eastAsia" w:ascii="仿宋" w:hAnsi="仿宋" w:eastAsia="仿宋"/>
          <w:sz w:val="32"/>
          <w:szCs w:val="32"/>
          <w:lang w:val="en-US" w:eastAsia="zh-CN"/>
        </w:rPr>
        <w:t>0</w:t>
      </w:r>
      <w:r>
        <w:rPr>
          <w:rFonts w:hint="eastAsia" w:ascii="仿宋" w:hAnsi="仿宋" w:eastAsia="仿宋"/>
          <w:sz w:val="32"/>
          <w:szCs w:val="32"/>
        </w:rPr>
        <w:t>人。</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年部门</w:t>
      </w:r>
      <w:r>
        <w:rPr>
          <w:rFonts w:hint="eastAsia" w:ascii="仿宋" w:hAnsi="仿宋" w:eastAsia="仿宋"/>
          <w:sz w:val="32"/>
          <w:szCs w:val="32"/>
          <w:lang w:val="en-US" w:eastAsia="zh-CN"/>
        </w:rPr>
        <w:t>1</w:t>
      </w:r>
      <w:r>
        <w:rPr>
          <w:rFonts w:hint="eastAsia" w:ascii="仿宋" w:hAnsi="仿宋" w:eastAsia="仿宋"/>
          <w:sz w:val="32"/>
          <w:szCs w:val="32"/>
        </w:rPr>
        <w:t>家行政单位的机关运行经费财政拨款预算</w:t>
      </w:r>
      <w:r>
        <w:rPr>
          <w:rFonts w:hint="eastAsia" w:ascii="仿宋" w:hAnsi="仿宋" w:eastAsia="仿宋"/>
          <w:sz w:val="32"/>
          <w:szCs w:val="32"/>
          <w:lang w:val="en-US" w:eastAsia="zh-CN"/>
        </w:rPr>
        <w:t>64.53</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年预算增加</w:t>
      </w:r>
      <w:r>
        <w:rPr>
          <w:rFonts w:hint="eastAsia" w:ascii="仿宋" w:hAnsi="仿宋" w:eastAsia="仿宋"/>
          <w:sz w:val="32"/>
          <w:szCs w:val="32"/>
          <w:lang w:val="en-US" w:eastAsia="zh-CN"/>
        </w:rPr>
        <w:t>3.53</w:t>
      </w:r>
      <w:r>
        <w:rPr>
          <w:rFonts w:hint="eastAsia" w:ascii="仿宋" w:hAnsi="仿宋" w:eastAsia="仿宋"/>
          <w:sz w:val="32"/>
          <w:szCs w:val="32"/>
        </w:rPr>
        <w:t>万元，增长</w:t>
      </w:r>
      <w:r>
        <w:rPr>
          <w:rFonts w:hint="eastAsia" w:ascii="仿宋" w:hAnsi="仿宋" w:eastAsia="仿宋"/>
          <w:sz w:val="32"/>
          <w:szCs w:val="32"/>
          <w:lang w:val="en-US" w:eastAsia="zh-CN"/>
        </w:rPr>
        <w:t>5.79</w:t>
      </w:r>
      <w:r>
        <w:rPr>
          <w:rFonts w:ascii="仿宋_GB2312" w:eastAsia="仿宋_GB2312" w:cs="仿宋_GB2312" w:hAnsiTheme="minorHAnsi"/>
          <w:kern w:val="0"/>
          <w:sz w:val="32"/>
          <w:szCs w:val="32"/>
        </w:rPr>
        <w:t xml:space="preserve"> </w:t>
      </w:r>
      <w:r>
        <w:rPr>
          <w:rFonts w:ascii="仿宋" w:hAnsi="仿宋" w:eastAsia="仿宋"/>
          <w:sz w:val="32"/>
          <w:szCs w:val="32"/>
        </w:rPr>
        <w:t>%</w:t>
      </w:r>
      <w:r>
        <w:rPr>
          <w:rFonts w:hint="eastAsia" w:ascii="仿宋" w:hAnsi="仿宋" w:eastAsia="仿宋"/>
          <w:sz w:val="32"/>
          <w:szCs w:val="32"/>
        </w:rPr>
        <w:t>。主要原因是</w:t>
      </w:r>
      <w:r>
        <w:rPr>
          <w:rFonts w:hint="eastAsia" w:ascii="仿宋" w:hAnsi="仿宋" w:eastAsia="仿宋"/>
          <w:sz w:val="32"/>
          <w:szCs w:val="32"/>
          <w:lang w:eastAsia="zh-CN"/>
        </w:rPr>
        <w:t>人员增加</w:t>
      </w:r>
      <w:r>
        <w:rPr>
          <w:rFonts w:hint="eastAsia" w:ascii="仿宋_GB2312" w:eastAsia="仿宋_GB2312" w:cs="仿宋_GB2312" w:hAnsiTheme="minorHAnsi"/>
          <w:kern w:val="0"/>
          <w:sz w:val="32"/>
          <w:szCs w:val="32"/>
        </w:rPr>
        <w:t>。</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仿宋" w:hAnsi="仿宋" w:eastAsia="仿宋"/>
          <w:sz w:val="32"/>
          <w:szCs w:val="32"/>
        </w:rPr>
        <w:t>例如</w:t>
      </w:r>
      <w:r>
        <w:rPr>
          <w:rFonts w:ascii="仿宋" w:hAnsi="仿宋" w:eastAsia="仿宋"/>
          <w:sz w:val="32"/>
          <w:szCs w:val="32"/>
        </w:rPr>
        <w:t>：2024</w:t>
      </w:r>
      <w:r>
        <w:rPr>
          <w:rFonts w:hint="eastAsia" w:ascii="仿宋" w:hAnsi="仿宋" w:eastAsia="仿宋"/>
          <w:sz w:val="32"/>
          <w:szCs w:val="32"/>
        </w:rPr>
        <w:t>年本</w:t>
      </w:r>
      <w:r>
        <w:rPr>
          <w:rFonts w:ascii="仿宋" w:hAnsi="仿宋" w:eastAsia="仿宋"/>
          <w:sz w:val="32"/>
          <w:szCs w:val="32"/>
        </w:rPr>
        <w:t>部门及</w:t>
      </w:r>
      <w:r>
        <w:rPr>
          <w:rFonts w:hint="eastAsia" w:ascii="仿宋" w:hAnsi="仿宋" w:eastAsia="仿宋"/>
          <w:sz w:val="32"/>
          <w:szCs w:val="32"/>
        </w:rPr>
        <w:t>所属各预算单位政府采购预算总额</w:t>
      </w:r>
      <w:r>
        <w:rPr>
          <w:rFonts w:hint="eastAsia" w:ascii="仿宋" w:hAnsi="仿宋" w:eastAsia="仿宋"/>
          <w:sz w:val="32"/>
          <w:szCs w:val="32"/>
          <w:lang w:val="en-US" w:eastAsia="zh-CN"/>
        </w:rPr>
        <w:t>0</w:t>
      </w:r>
      <w:r>
        <w:rPr>
          <w:rFonts w:hint="eastAsia" w:ascii="仿宋" w:hAnsi="仿宋" w:eastAsia="仿宋"/>
          <w:sz w:val="32"/>
          <w:szCs w:val="32"/>
        </w:rPr>
        <w:t>万元，其中：政府采购货物预算</w:t>
      </w:r>
      <w:r>
        <w:rPr>
          <w:rFonts w:hint="eastAsia" w:ascii="仿宋" w:hAnsi="仿宋" w:eastAsia="仿宋"/>
          <w:sz w:val="32"/>
          <w:szCs w:val="32"/>
          <w:lang w:val="en-US" w:eastAsia="zh-CN"/>
        </w:rPr>
        <w:t>0</w:t>
      </w:r>
      <w:r>
        <w:rPr>
          <w:rFonts w:hint="eastAsia" w:ascii="仿宋" w:hAnsi="仿宋" w:eastAsia="仿宋"/>
          <w:sz w:val="32"/>
          <w:szCs w:val="32"/>
        </w:rPr>
        <w:t>万元、政府采购工程预算</w:t>
      </w:r>
      <w:r>
        <w:rPr>
          <w:rFonts w:hint="eastAsia" w:ascii="仿宋" w:hAnsi="仿宋" w:eastAsia="仿宋"/>
          <w:sz w:val="32"/>
          <w:szCs w:val="32"/>
          <w:lang w:val="en-US" w:eastAsia="zh-CN"/>
        </w:rPr>
        <w:t>0</w:t>
      </w:r>
      <w:r>
        <w:rPr>
          <w:rFonts w:hint="eastAsia" w:ascii="仿宋" w:hAnsi="仿宋" w:eastAsia="仿宋"/>
          <w:sz w:val="32"/>
          <w:szCs w:val="32"/>
        </w:rPr>
        <w:t>万元、政府采购服务预算</w:t>
      </w:r>
      <w:r>
        <w:rPr>
          <w:rFonts w:hint="eastAsia" w:ascii="仿宋" w:hAnsi="仿宋" w:eastAsia="仿宋"/>
          <w:sz w:val="32"/>
          <w:szCs w:val="32"/>
          <w:lang w:val="en-US" w:eastAsia="zh-CN"/>
        </w:rPr>
        <w:t>0</w:t>
      </w:r>
      <w:r>
        <w:rPr>
          <w:rFonts w:hint="eastAsia" w:ascii="仿宋" w:hAnsi="仿宋" w:eastAsia="仿宋"/>
          <w:sz w:val="32"/>
          <w:szCs w:val="32"/>
        </w:rPr>
        <w:t>万元。</w:t>
      </w:r>
    </w:p>
    <w:p>
      <w:pPr>
        <w:ind w:firstLine="640" w:firstLineChars="200"/>
        <w:rPr>
          <w:rFonts w:ascii="楷体" w:hAnsi="楷体" w:eastAsia="楷体"/>
          <w:sz w:val="32"/>
          <w:szCs w:val="32"/>
          <w:highlight w:val="none"/>
        </w:rPr>
      </w:pPr>
      <w:r>
        <w:rPr>
          <w:rFonts w:hint="eastAsia" w:ascii="楷体" w:hAnsi="楷体" w:eastAsia="楷体"/>
          <w:sz w:val="32"/>
          <w:szCs w:val="32"/>
          <w:highlight w:val="none"/>
        </w:rPr>
        <w:t>（三）国有资产占有使用情况说明。</w:t>
      </w:r>
    </w:p>
    <w:p>
      <w:pPr>
        <w:autoSpaceDE w:val="0"/>
        <w:autoSpaceDN w:val="0"/>
        <w:adjustRightInd w:val="0"/>
        <w:ind w:firstLine="640" w:firstLineChars="200"/>
        <w:rPr>
          <w:rFonts w:ascii="仿宋" w:hAnsi="仿宋" w:eastAsia="仿宋"/>
          <w:sz w:val="32"/>
          <w:szCs w:val="32"/>
          <w:highlight w:val="none"/>
        </w:rPr>
      </w:pPr>
      <w:r>
        <w:rPr>
          <w:rFonts w:hint="eastAsia" w:ascii="仿宋" w:hAnsi="仿宋" w:eastAsia="仿宋"/>
          <w:sz w:val="32"/>
          <w:szCs w:val="32"/>
          <w:highlight w:val="none"/>
        </w:rPr>
        <w:t>例如</w:t>
      </w:r>
      <w:r>
        <w:rPr>
          <w:rFonts w:ascii="仿宋" w:hAnsi="仿宋" w:eastAsia="仿宋"/>
          <w:sz w:val="32"/>
          <w:szCs w:val="32"/>
          <w:highlight w:val="none"/>
        </w:rPr>
        <w:t>：</w:t>
      </w:r>
      <w:r>
        <w:rPr>
          <w:rFonts w:hint="eastAsia" w:ascii="仿宋" w:hAnsi="仿宋" w:eastAsia="仿宋"/>
          <w:sz w:val="32"/>
          <w:szCs w:val="32"/>
          <w:highlight w:val="none"/>
        </w:rPr>
        <w:t>截至</w:t>
      </w:r>
      <w:r>
        <w:rPr>
          <w:rFonts w:ascii="仿宋" w:hAnsi="仿宋" w:eastAsia="仿宋"/>
          <w:sz w:val="32"/>
          <w:szCs w:val="32"/>
          <w:highlight w:val="none"/>
        </w:rPr>
        <w:t>2024</w:t>
      </w:r>
      <w:r>
        <w:rPr>
          <w:rFonts w:hint="eastAsia" w:ascii="仿宋" w:hAnsi="仿宋" w:eastAsia="仿宋"/>
          <w:sz w:val="32"/>
          <w:szCs w:val="32"/>
          <w:highlight w:val="none"/>
        </w:rPr>
        <w:t>年</w:t>
      </w:r>
      <w:r>
        <w:rPr>
          <w:rFonts w:hint="eastAsia" w:ascii="仿宋" w:hAnsi="仿宋" w:eastAsia="仿宋"/>
          <w:sz w:val="32"/>
          <w:szCs w:val="32"/>
          <w:highlight w:val="none"/>
          <w:lang w:val="en-US" w:eastAsia="zh-CN"/>
        </w:rPr>
        <w:t>1</w:t>
      </w:r>
      <w:r>
        <w:rPr>
          <w:rFonts w:hint="eastAsia" w:ascii="仿宋" w:hAnsi="仿宋" w:eastAsia="仿宋"/>
          <w:sz w:val="32"/>
          <w:szCs w:val="32"/>
          <w:highlight w:val="none"/>
        </w:rPr>
        <w:t>月底，本</w:t>
      </w:r>
      <w:r>
        <w:rPr>
          <w:rFonts w:ascii="仿宋" w:hAnsi="仿宋" w:eastAsia="仿宋"/>
          <w:sz w:val="32"/>
          <w:szCs w:val="32"/>
          <w:highlight w:val="none"/>
        </w:rPr>
        <w:t>部门</w:t>
      </w:r>
      <w:r>
        <w:rPr>
          <w:rFonts w:hint="eastAsia" w:ascii="仿宋" w:hAnsi="仿宋" w:eastAsia="仿宋"/>
          <w:sz w:val="32"/>
          <w:szCs w:val="32"/>
          <w:highlight w:val="none"/>
        </w:rPr>
        <w:t>及所属各预算单位共有车辆</w:t>
      </w:r>
      <w:r>
        <w:rPr>
          <w:rFonts w:hint="eastAsia" w:ascii="仿宋" w:hAnsi="仿宋" w:eastAsia="仿宋"/>
          <w:sz w:val="32"/>
          <w:szCs w:val="32"/>
          <w:highlight w:val="none"/>
          <w:lang w:val="en-US" w:eastAsia="zh-CN"/>
        </w:rPr>
        <w:t>0</w:t>
      </w:r>
      <w:r>
        <w:rPr>
          <w:rFonts w:hint="eastAsia" w:ascii="仿宋" w:hAnsi="仿宋" w:eastAsia="仿宋"/>
          <w:sz w:val="32"/>
          <w:szCs w:val="32"/>
          <w:highlight w:val="none"/>
        </w:rPr>
        <w:t>辆，其中，</w:t>
      </w:r>
      <w:r>
        <w:rPr>
          <w:rFonts w:hint="eastAsia" w:ascii="仿宋" w:hAnsi="仿宋" w:eastAsia="仿宋"/>
          <w:sz w:val="32"/>
          <w:szCs w:val="32"/>
          <w:highlight w:val="none"/>
          <w:lang w:val="en-US" w:eastAsia="zh-CN"/>
        </w:rPr>
        <w:t>0</w:t>
      </w:r>
      <w:r>
        <w:rPr>
          <w:rFonts w:hint="eastAsia" w:ascii="仿宋" w:hAnsi="仿宋" w:eastAsia="仿宋"/>
          <w:sz w:val="32"/>
          <w:szCs w:val="32"/>
          <w:highlight w:val="none"/>
        </w:rPr>
        <w:t>级领导干部用车（含在职和离退休部级干部用车）</w:t>
      </w:r>
      <w:r>
        <w:rPr>
          <w:rFonts w:hint="eastAsia" w:ascii="仿宋" w:hAnsi="仿宋" w:eastAsia="仿宋"/>
          <w:sz w:val="32"/>
          <w:szCs w:val="32"/>
          <w:highlight w:val="none"/>
          <w:lang w:val="en-US" w:eastAsia="zh-CN"/>
        </w:rPr>
        <w:t>0</w:t>
      </w:r>
      <w:r>
        <w:rPr>
          <w:rFonts w:hint="eastAsia" w:ascii="仿宋" w:hAnsi="仿宋" w:eastAsia="仿宋"/>
          <w:sz w:val="32"/>
          <w:szCs w:val="32"/>
          <w:highlight w:val="none"/>
        </w:rPr>
        <w:t>辆、机要通信用车</w:t>
      </w:r>
      <w:r>
        <w:rPr>
          <w:rFonts w:hint="eastAsia" w:ascii="仿宋" w:hAnsi="仿宋" w:eastAsia="仿宋"/>
          <w:sz w:val="32"/>
          <w:szCs w:val="32"/>
          <w:highlight w:val="none"/>
          <w:lang w:val="en-US" w:eastAsia="zh-CN"/>
        </w:rPr>
        <w:t>0</w:t>
      </w:r>
      <w:r>
        <w:rPr>
          <w:rFonts w:hint="eastAsia" w:ascii="仿宋" w:hAnsi="仿宋" w:eastAsia="仿宋"/>
          <w:sz w:val="32"/>
          <w:szCs w:val="32"/>
          <w:highlight w:val="none"/>
        </w:rPr>
        <w:t>辆、应急保障用车</w:t>
      </w:r>
      <w:r>
        <w:rPr>
          <w:rFonts w:hint="eastAsia" w:ascii="仿宋" w:hAnsi="仿宋" w:eastAsia="仿宋"/>
          <w:sz w:val="32"/>
          <w:szCs w:val="32"/>
          <w:highlight w:val="none"/>
          <w:lang w:val="en-US" w:eastAsia="zh-CN"/>
        </w:rPr>
        <w:t>0</w:t>
      </w:r>
      <w:r>
        <w:rPr>
          <w:rFonts w:hint="eastAsia" w:ascii="仿宋" w:hAnsi="仿宋" w:eastAsia="仿宋"/>
          <w:sz w:val="32"/>
          <w:szCs w:val="32"/>
          <w:highlight w:val="none"/>
        </w:rPr>
        <w:t>辆、执法执勤用车</w:t>
      </w:r>
      <w:r>
        <w:rPr>
          <w:rFonts w:hint="eastAsia" w:ascii="仿宋" w:hAnsi="仿宋" w:eastAsia="仿宋"/>
          <w:sz w:val="32"/>
          <w:szCs w:val="32"/>
          <w:highlight w:val="none"/>
          <w:lang w:val="en-US" w:eastAsia="zh-CN"/>
        </w:rPr>
        <w:t>0</w:t>
      </w:r>
      <w:r>
        <w:rPr>
          <w:rFonts w:hint="eastAsia" w:ascii="仿宋" w:hAnsi="仿宋" w:eastAsia="仿宋"/>
          <w:sz w:val="32"/>
          <w:szCs w:val="32"/>
          <w:highlight w:val="none"/>
        </w:rPr>
        <w:t>辆、特种专业技术用车</w:t>
      </w:r>
      <w:r>
        <w:rPr>
          <w:rFonts w:hint="eastAsia" w:ascii="仿宋" w:hAnsi="仿宋" w:eastAsia="仿宋"/>
          <w:sz w:val="32"/>
          <w:szCs w:val="32"/>
          <w:highlight w:val="none"/>
          <w:lang w:val="en-US" w:eastAsia="zh-CN"/>
        </w:rPr>
        <w:t>0</w:t>
      </w:r>
      <w:r>
        <w:rPr>
          <w:rFonts w:hint="eastAsia" w:ascii="仿宋" w:hAnsi="仿宋" w:eastAsia="仿宋"/>
          <w:sz w:val="32"/>
          <w:szCs w:val="32"/>
          <w:highlight w:val="none"/>
        </w:rPr>
        <w:t>辆、其他用车</w:t>
      </w:r>
      <w:r>
        <w:rPr>
          <w:rFonts w:hint="eastAsia" w:ascii="仿宋" w:hAnsi="仿宋" w:eastAsia="仿宋"/>
          <w:sz w:val="32"/>
          <w:szCs w:val="32"/>
          <w:highlight w:val="none"/>
          <w:lang w:val="en-US" w:eastAsia="zh-CN"/>
        </w:rPr>
        <w:t>0</w:t>
      </w:r>
      <w:r>
        <w:rPr>
          <w:rFonts w:hint="eastAsia" w:ascii="仿宋" w:hAnsi="仿宋" w:eastAsia="仿宋"/>
          <w:sz w:val="32"/>
          <w:szCs w:val="32"/>
          <w:highlight w:val="none"/>
        </w:rPr>
        <w:t>辆。单位价值</w:t>
      </w:r>
      <w:r>
        <w:rPr>
          <w:rFonts w:ascii="仿宋" w:hAnsi="仿宋" w:eastAsia="仿宋"/>
          <w:sz w:val="32"/>
          <w:szCs w:val="32"/>
          <w:highlight w:val="none"/>
        </w:rPr>
        <w:t>50</w:t>
      </w:r>
      <w:r>
        <w:rPr>
          <w:rFonts w:hint="eastAsia" w:ascii="仿宋" w:hAnsi="仿宋" w:eastAsia="仿宋"/>
          <w:sz w:val="32"/>
          <w:szCs w:val="32"/>
          <w:highlight w:val="none"/>
        </w:rPr>
        <w:t>万元以上通用设备</w:t>
      </w:r>
      <w:r>
        <w:rPr>
          <w:rFonts w:hint="eastAsia" w:ascii="仿宋" w:hAnsi="仿宋" w:eastAsia="仿宋"/>
          <w:sz w:val="32"/>
          <w:szCs w:val="32"/>
          <w:highlight w:val="none"/>
          <w:lang w:val="en-US" w:eastAsia="zh-CN"/>
        </w:rPr>
        <w:t>0</w:t>
      </w:r>
      <w:r>
        <w:rPr>
          <w:rFonts w:hint="eastAsia" w:ascii="仿宋" w:hAnsi="仿宋" w:eastAsia="仿宋"/>
          <w:sz w:val="32"/>
          <w:szCs w:val="32"/>
          <w:highlight w:val="none"/>
        </w:rPr>
        <w:t>台（套），单位价值</w:t>
      </w:r>
      <w:r>
        <w:rPr>
          <w:rFonts w:ascii="仿宋" w:hAnsi="仿宋" w:eastAsia="仿宋"/>
          <w:sz w:val="32"/>
          <w:szCs w:val="32"/>
          <w:highlight w:val="none"/>
        </w:rPr>
        <w:t>100</w:t>
      </w:r>
      <w:r>
        <w:rPr>
          <w:rFonts w:hint="eastAsia" w:ascii="仿宋" w:hAnsi="仿宋" w:eastAsia="仿宋"/>
          <w:sz w:val="32"/>
          <w:szCs w:val="32"/>
          <w:highlight w:val="none"/>
        </w:rPr>
        <w:t>万元以上专用设备</w:t>
      </w:r>
      <w:r>
        <w:rPr>
          <w:rFonts w:hint="eastAsia" w:ascii="仿宋" w:hAnsi="仿宋" w:eastAsia="仿宋"/>
          <w:sz w:val="32"/>
          <w:szCs w:val="32"/>
          <w:highlight w:val="none"/>
          <w:lang w:val="en-US" w:eastAsia="zh-CN"/>
        </w:rPr>
        <w:t>0</w:t>
      </w:r>
      <w:r>
        <w:rPr>
          <w:rFonts w:hint="eastAsia" w:ascii="仿宋" w:hAnsi="仿宋" w:eastAsia="仿宋"/>
          <w:sz w:val="32"/>
          <w:szCs w:val="32"/>
          <w:highlight w:val="none"/>
        </w:rPr>
        <w:t>台（套）。</w:t>
      </w:r>
      <w:r>
        <w:rPr>
          <w:rFonts w:ascii="仿宋" w:hAnsi="仿宋" w:eastAsia="仿宋"/>
          <w:sz w:val="32"/>
          <w:szCs w:val="32"/>
          <w:highlight w:val="none"/>
        </w:rPr>
        <w:t>2024</w:t>
      </w:r>
      <w:r>
        <w:rPr>
          <w:rFonts w:hint="eastAsia" w:ascii="仿宋" w:hAnsi="仿宋" w:eastAsia="仿宋"/>
          <w:sz w:val="32"/>
          <w:szCs w:val="32"/>
          <w:highlight w:val="none"/>
        </w:rPr>
        <w:t>年一般公共预算安排对确实无法使用的</w:t>
      </w:r>
      <w:r>
        <w:rPr>
          <w:rFonts w:hint="eastAsia" w:ascii="仿宋" w:hAnsi="仿宋" w:eastAsia="仿宋"/>
          <w:sz w:val="32"/>
          <w:szCs w:val="32"/>
          <w:highlight w:val="none"/>
          <w:lang w:val="en-US" w:eastAsia="zh-CN"/>
        </w:rPr>
        <w:t>0</w:t>
      </w:r>
      <w:r>
        <w:rPr>
          <w:rFonts w:hint="eastAsia" w:ascii="仿宋" w:hAnsi="仿宋" w:eastAsia="仿宋"/>
          <w:sz w:val="32"/>
          <w:szCs w:val="32"/>
          <w:highlight w:val="none"/>
        </w:rPr>
        <w:t>辆车进行更新购置。</w:t>
      </w:r>
    </w:p>
    <w:p>
      <w:pPr>
        <w:spacing w:line="588" w:lineRule="exact"/>
        <w:ind w:firstLine="640" w:firstLineChars="200"/>
        <w:rPr>
          <w:rFonts w:ascii="仿宋" w:hAnsi="仿宋" w:eastAsia="仿宋"/>
          <w:b/>
          <w:sz w:val="32"/>
          <w:szCs w:val="32"/>
          <w:highlight w:val="none"/>
        </w:rPr>
      </w:pPr>
      <w:r>
        <w:rPr>
          <w:rFonts w:hint="eastAsia" w:ascii="楷体" w:hAnsi="楷体" w:eastAsia="楷体"/>
          <w:sz w:val="32"/>
          <w:szCs w:val="32"/>
          <w:highlight w:val="none"/>
        </w:rPr>
        <w:t>（四）2024年预算绩效情况说明。</w:t>
      </w:r>
    </w:p>
    <w:p>
      <w:pPr>
        <w:spacing w:line="588" w:lineRule="exact"/>
        <w:ind w:firstLine="640" w:firstLineChars="200"/>
        <w:rPr>
          <w:rFonts w:hint="eastAsia" w:ascii="仿宋" w:hAnsi="仿宋" w:eastAsia="仿宋"/>
          <w:sz w:val="32"/>
          <w:szCs w:val="32"/>
          <w:highlight w:val="none"/>
          <w:lang w:val="en-US" w:eastAsia="zh-CN"/>
        </w:rPr>
      </w:pPr>
      <w:r>
        <w:rPr>
          <w:rFonts w:hint="eastAsia" w:ascii="仿宋" w:hAnsi="仿宋" w:eastAsia="仿宋"/>
          <w:sz w:val="32"/>
          <w:szCs w:val="32"/>
          <w:highlight w:val="none"/>
        </w:rPr>
        <w:t>2024年实现财政支出绩效目标管理全覆盖，实行绩效目标管理</w:t>
      </w:r>
      <w:r>
        <w:rPr>
          <w:rFonts w:hint="eastAsia" w:ascii="仿宋" w:hAnsi="仿宋" w:eastAsia="仿宋"/>
          <w:sz w:val="32"/>
          <w:szCs w:val="32"/>
          <w:highlight w:val="none"/>
          <w:lang w:val="en-US" w:eastAsia="zh-CN"/>
        </w:rPr>
        <w:t>55</w:t>
      </w:r>
      <w:r>
        <w:rPr>
          <w:rFonts w:hint="eastAsia" w:ascii="仿宋" w:hAnsi="仿宋" w:eastAsia="仿宋"/>
          <w:sz w:val="32"/>
          <w:szCs w:val="32"/>
          <w:highlight w:val="none"/>
        </w:rPr>
        <w:t>个，资金</w:t>
      </w:r>
      <w:r>
        <w:rPr>
          <w:rFonts w:hint="eastAsia" w:ascii="仿宋" w:hAnsi="仿宋" w:eastAsia="仿宋"/>
          <w:sz w:val="32"/>
          <w:szCs w:val="32"/>
          <w:highlight w:val="none"/>
          <w:lang w:val="en-US" w:eastAsia="zh-CN"/>
        </w:rPr>
        <w:t>7588.81万元，其中：中央转移支付资金61.14万元，地方资金7527.67万元。重点项目（见名词解释）实行绩效目标管理5个，分别是（项目名称：</w:t>
      </w:r>
      <w:r>
        <w:rPr>
          <w:rFonts w:hint="eastAsia" w:ascii="仿宋" w:hAnsi="仿宋" w:eastAsia="仿宋"/>
          <w:sz w:val="32"/>
          <w:szCs w:val="32"/>
          <w:highlight w:val="none"/>
          <w:lang w:val="en-US" w:eastAsia="zh-CN"/>
        </w:rPr>
        <w:t>1.红色美丽村庄项目，资金100万元；</w:t>
      </w:r>
      <w:r>
        <w:rPr>
          <w:rFonts w:hint="eastAsia" w:ascii="仿宋" w:hAnsi="仿宋" w:eastAsia="仿宋"/>
          <w:sz w:val="32"/>
          <w:szCs w:val="32"/>
          <w:highlight w:val="none"/>
          <w:lang w:val="en-US" w:eastAsia="zh-CN"/>
        </w:rPr>
        <w:t>2.高海拔村庄健康供氧及供暖项目，资金13.13万元；</w:t>
      </w:r>
      <w:r>
        <w:rPr>
          <w:rFonts w:hint="eastAsia" w:ascii="仿宋" w:hAnsi="仿宋" w:eastAsia="仿宋"/>
          <w:sz w:val="32"/>
          <w:szCs w:val="32"/>
          <w:highlight w:val="none"/>
          <w:lang w:val="en-US" w:eastAsia="zh-CN"/>
        </w:rPr>
        <w:t>3.白朗村公房建设和内部装修及设备购买项目，资金278万元；</w:t>
      </w:r>
      <w:r>
        <w:rPr>
          <w:rFonts w:hint="eastAsia" w:ascii="仿宋" w:hAnsi="仿宋" w:eastAsia="仿宋"/>
          <w:sz w:val="32"/>
          <w:szCs w:val="32"/>
          <w:highlight w:val="none"/>
          <w:lang w:val="en-US" w:eastAsia="zh-CN"/>
        </w:rPr>
        <w:t>4.“融合情”民族团结教育基地建设项目，资金100万元；</w:t>
      </w:r>
      <w:r>
        <w:rPr>
          <w:rFonts w:hint="eastAsia" w:ascii="仿宋" w:hAnsi="仿宋" w:eastAsia="仿宋"/>
          <w:sz w:val="32"/>
          <w:szCs w:val="32"/>
          <w:highlight w:val="none"/>
          <w:lang w:val="en-US" w:eastAsia="zh-CN"/>
        </w:rPr>
        <w:t>5.中央财政扶持村级集体经济项目，资金61.14万元；以上资金共计552.27万元），占年初项目支出预算总额的7.28%。</w:t>
      </w:r>
    </w:p>
    <w:tbl>
      <w:tblPr>
        <w:tblW w:w="7775" w:type="dxa"/>
        <w:tblInd w:w="0" w:type="dxa"/>
        <w:shd w:val="clear"/>
        <w:tblLayout w:type="autofit"/>
        <w:tblCellMar>
          <w:top w:w="0" w:type="dxa"/>
          <w:left w:w="0" w:type="dxa"/>
          <w:bottom w:w="0" w:type="dxa"/>
          <w:right w:w="0" w:type="dxa"/>
        </w:tblCellMar>
      </w:tblPr>
      <w:tblGrid>
        <w:gridCol w:w="2010"/>
        <w:gridCol w:w="603"/>
        <w:gridCol w:w="712"/>
        <w:gridCol w:w="1007"/>
        <w:gridCol w:w="1044"/>
        <w:gridCol w:w="618"/>
        <w:gridCol w:w="660"/>
        <w:gridCol w:w="683"/>
        <w:gridCol w:w="438"/>
      </w:tblGrid>
      <w:tr>
        <w:tblPrEx>
          <w:shd w:val="clear"/>
          <w:tblCellMar>
            <w:top w:w="0" w:type="dxa"/>
            <w:left w:w="0" w:type="dxa"/>
            <w:bottom w:w="0" w:type="dxa"/>
            <w:right w:w="0" w:type="dxa"/>
          </w:tblCellMar>
        </w:tblPrEx>
        <w:trPr>
          <w:trHeight w:val="587" w:hRule="atLeast"/>
        </w:trPr>
        <w:tc>
          <w:tcPr>
            <w:tcW w:w="1857" w:type="dxa"/>
            <w:vMerge w:val="restart"/>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54042124T000001667974-红色美丽村庄项目奖补资金</w:t>
            </w:r>
          </w:p>
        </w:tc>
        <w:tc>
          <w:tcPr>
            <w:tcW w:w="606" w:type="dxa"/>
            <w:vMerge w:val="restart"/>
            <w:tcBorders>
              <w:top w:val="single" w:color="C0C0C0" w:sz="4" w:space="0"/>
              <w:left w:val="single" w:color="C0C0C0" w:sz="4" w:space="0"/>
              <w:bottom w:val="single" w:color="C0C0C0" w:sz="4" w:space="0"/>
              <w:right w:val="single" w:color="C0C0C0" w:sz="4" w:space="0"/>
            </w:tcBorders>
            <w:shd w:val="clear"/>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bdr w:val="none" w:color="auto" w:sz="0" w:space="0"/>
                <w:lang w:val="en-US" w:eastAsia="zh-CN" w:bidi="ar"/>
              </w:rPr>
              <w:t>100.00</w:t>
            </w:r>
          </w:p>
        </w:tc>
        <w:tc>
          <w:tcPr>
            <w:tcW w:w="755"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效益指标</w:t>
            </w:r>
          </w:p>
        </w:tc>
        <w:tc>
          <w:tcPr>
            <w:tcW w:w="1075"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可持续影响指标</w:t>
            </w:r>
          </w:p>
        </w:tc>
        <w:tc>
          <w:tcPr>
            <w:tcW w:w="1099"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促进广大干部职工积极性</w:t>
            </w:r>
          </w:p>
        </w:tc>
        <w:tc>
          <w:tcPr>
            <w:tcW w:w="653"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w:t>
            </w:r>
          </w:p>
        </w:tc>
        <w:tc>
          <w:tcPr>
            <w:tcW w:w="610" w:type="dxa"/>
            <w:tcBorders>
              <w:top w:val="single" w:color="C2C3C4" w:sz="4" w:space="0"/>
              <w:left w:val="single" w:color="C2C3C4" w:sz="4" w:space="0"/>
              <w:bottom w:val="single" w:color="C2C3C4" w:sz="4" w:space="0"/>
              <w:right w:val="single" w:color="C2C3C4"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bdr w:val="none" w:color="auto" w:sz="0" w:space="0"/>
                <w:lang w:val="en-US" w:eastAsia="zh-CN" w:bidi="ar"/>
              </w:rPr>
              <w:t>80</w:t>
            </w:r>
          </w:p>
        </w:tc>
        <w:tc>
          <w:tcPr>
            <w:tcW w:w="683" w:type="dxa"/>
            <w:tcBorders>
              <w:top w:val="single" w:color="C2C3C4" w:sz="4" w:space="0"/>
              <w:left w:val="single" w:color="C2C3C4" w:sz="4" w:space="0"/>
              <w:bottom w:val="single" w:color="C2C3C4" w:sz="4" w:space="0"/>
              <w:right w:val="single" w:color="C2C3C4"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bdr w:val="none" w:color="auto" w:sz="0" w:space="0"/>
                <w:lang w:val="en-US" w:eastAsia="zh-CN" w:bidi="ar"/>
              </w:rPr>
              <w:t>%</w:t>
            </w:r>
          </w:p>
        </w:tc>
        <w:tc>
          <w:tcPr>
            <w:tcW w:w="437" w:type="dxa"/>
            <w:tcBorders>
              <w:top w:val="single" w:color="C2C3C4" w:sz="4" w:space="0"/>
              <w:left w:val="single" w:color="C2C3C4" w:sz="4" w:space="0"/>
              <w:bottom w:val="single" w:color="C2C3C4" w:sz="4" w:space="0"/>
              <w:right w:val="single" w:color="C2C3C4"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bdr w:val="none" w:color="auto" w:sz="0" w:space="0"/>
                <w:lang w:val="en-US" w:eastAsia="zh-CN" w:bidi="ar"/>
              </w:rPr>
              <w:t>10</w:t>
            </w:r>
          </w:p>
        </w:tc>
      </w:tr>
      <w:tr>
        <w:tblPrEx>
          <w:tblCellMar>
            <w:top w:w="0" w:type="dxa"/>
            <w:left w:w="0" w:type="dxa"/>
            <w:bottom w:w="0" w:type="dxa"/>
            <w:right w:w="0" w:type="dxa"/>
          </w:tblCellMar>
        </w:tblPrEx>
        <w:trPr>
          <w:trHeight w:val="587" w:hRule="atLeast"/>
        </w:trPr>
        <w:tc>
          <w:tcPr>
            <w:tcW w:w="1857" w:type="dxa"/>
            <w:vMerge w:val="continue"/>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606" w:type="dxa"/>
            <w:vMerge w:val="continue"/>
            <w:tcBorders>
              <w:top w:val="single" w:color="C0C0C0" w:sz="4" w:space="0"/>
              <w:left w:val="single" w:color="C0C0C0" w:sz="4" w:space="0"/>
              <w:bottom w:val="single" w:color="C0C0C0" w:sz="4" w:space="0"/>
              <w:right w:val="single" w:color="C0C0C0" w:sz="4" w:space="0"/>
            </w:tcBorders>
            <w:shd w:val="clear"/>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755"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产出指标</w:t>
            </w:r>
          </w:p>
        </w:tc>
        <w:tc>
          <w:tcPr>
            <w:tcW w:w="1075"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数量指标</w:t>
            </w:r>
          </w:p>
        </w:tc>
        <w:tc>
          <w:tcPr>
            <w:tcW w:w="1099"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每年度参观学习次数</w:t>
            </w:r>
          </w:p>
        </w:tc>
        <w:tc>
          <w:tcPr>
            <w:tcW w:w="653"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w:t>
            </w:r>
          </w:p>
        </w:tc>
        <w:tc>
          <w:tcPr>
            <w:tcW w:w="0" w:type="auto"/>
            <w:tcBorders>
              <w:top w:val="single" w:color="C2C3C4" w:sz="4" w:space="0"/>
              <w:left w:val="single" w:color="C2C3C4" w:sz="4" w:space="0"/>
              <w:bottom w:val="single" w:color="C2C3C4" w:sz="4" w:space="0"/>
              <w:right w:val="single" w:color="C2C3C4"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bdr w:val="none" w:color="auto" w:sz="0" w:space="0"/>
                <w:lang w:val="en-US" w:eastAsia="zh-CN" w:bidi="ar"/>
              </w:rPr>
              <w:t>20</w:t>
            </w:r>
          </w:p>
        </w:tc>
        <w:tc>
          <w:tcPr>
            <w:tcW w:w="0" w:type="auto"/>
            <w:tcBorders>
              <w:top w:val="single" w:color="C2C3C4" w:sz="4" w:space="0"/>
              <w:left w:val="single" w:color="C2C3C4" w:sz="4" w:space="0"/>
              <w:bottom w:val="single" w:color="C2C3C4" w:sz="4" w:space="0"/>
              <w:right w:val="single" w:color="C2C3C4"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bdr w:val="none" w:color="auto" w:sz="0" w:space="0"/>
                <w:lang w:val="en-US" w:eastAsia="zh-CN" w:bidi="ar"/>
              </w:rPr>
              <w:t>次</w:t>
            </w:r>
          </w:p>
        </w:tc>
        <w:tc>
          <w:tcPr>
            <w:tcW w:w="0" w:type="auto"/>
            <w:tcBorders>
              <w:top w:val="single" w:color="C2C3C4" w:sz="4" w:space="0"/>
              <w:left w:val="single" w:color="C2C3C4" w:sz="4" w:space="0"/>
              <w:bottom w:val="single" w:color="C2C3C4" w:sz="4" w:space="0"/>
              <w:right w:val="single" w:color="C2C3C4"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bdr w:val="none" w:color="auto" w:sz="0" w:space="0"/>
                <w:lang w:val="en-US" w:eastAsia="zh-CN" w:bidi="ar"/>
              </w:rPr>
              <w:t>10</w:t>
            </w:r>
          </w:p>
        </w:tc>
      </w:tr>
      <w:tr>
        <w:tblPrEx>
          <w:shd w:val="clear"/>
          <w:tblCellMar>
            <w:top w:w="0" w:type="dxa"/>
            <w:left w:w="0" w:type="dxa"/>
            <w:bottom w:w="0" w:type="dxa"/>
            <w:right w:w="0" w:type="dxa"/>
          </w:tblCellMar>
        </w:tblPrEx>
        <w:trPr>
          <w:trHeight w:val="587" w:hRule="atLeast"/>
        </w:trPr>
        <w:tc>
          <w:tcPr>
            <w:tcW w:w="1857" w:type="dxa"/>
            <w:vMerge w:val="continue"/>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606" w:type="dxa"/>
            <w:vMerge w:val="continue"/>
            <w:tcBorders>
              <w:top w:val="single" w:color="C0C0C0" w:sz="4" w:space="0"/>
              <w:left w:val="single" w:color="C0C0C0" w:sz="4" w:space="0"/>
              <w:bottom w:val="single" w:color="C0C0C0" w:sz="4" w:space="0"/>
              <w:right w:val="single" w:color="C0C0C0" w:sz="4" w:space="0"/>
            </w:tcBorders>
            <w:shd w:val="clear"/>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755"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效益指标</w:t>
            </w:r>
          </w:p>
        </w:tc>
        <w:tc>
          <w:tcPr>
            <w:tcW w:w="1075"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可持续影响指标</w:t>
            </w:r>
          </w:p>
        </w:tc>
        <w:tc>
          <w:tcPr>
            <w:tcW w:w="1099"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带动干部职工爱国爱岗敬业</w:t>
            </w:r>
          </w:p>
        </w:tc>
        <w:tc>
          <w:tcPr>
            <w:tcW w:w="653"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w:t>
            </w:r>
          </w:p>
        </w:tc>
        <w:tc>
          <w:tcPr>
            <w:tcW w:w="0" w:type="auto"/>
            <w:tcBorders>
              <w:top w:val="single" w:color="C2C3C4" w:sz="4" w:space="0"/>
              <w:left w:val="single" w:color="C2C3C4" w:sz="4" w:space="0"/>
              <w:bottom w:val="single" w:color="C2C3C4" w:sz="4" w:space="0"/>
              <w:right w:val="single" w:color="C2C3C4"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bdr w:val="none" w:color="auto" w:sz="0" w:space="0"/>
                <w:lang w:val="en-US" w:eastAsia="zh-CN" w:bidi="ar"/>
              </w:rPr>
              <w:t>80</w:t>
            </w:r>
          </w:p>
        </w:tc>
        <w:tc>
          <w:tcPr>
            <w:tcW w:w="0" w:type="auto"/>
            <w:tcBorders>
              <w:top w:val="single" w:color="C2C3C4" w:sz="4" w:space="0"/>
              <w:left w:val="single" w:color="C2C3C4" w:sz="4" w:space="0"/>
              <w:bottom w:val="single" w:color="C2C3C4" w:sz="4" w:space="0"/>
              <w:right w:val="single" w:color="C2C3C4"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bdr w:val="none" w:color="auto" w:sz="0" w:space="0"/>
                <w:lang w:val="en-US" w:eastAsia="zh-CN" w:bidi="ar"/>
              </w:rPr>
              <w:t>%</w:t>
            </w:r>
          </w:p>
        </w:tc>
        <w:tc>
          <w:tcPr>
            <w:tcW w:w="0" w:type="auto"/>
            <w:tcBorders>
              <w:top w:val="single" w:color="C2C3C4" w:sz="4" w:space="0"/>
              <w:left w:val="single" w:color="C2C3C4" w:sz="4" w:space="0"/>
              <w:bottom w:val="single" w:color="C2C3C4" w:sz="4" w:space="0"/>
              <w:right w:val="single" w:color="C2C3C4"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bdr w:val="none" w:color="auto" w:sz="0" w:space="0"/>
                <w:lang w:val="en-US" w:eastAsia="zh-CN" w:bidi="ar"/>
              </w:rPr>
              <w:t>5</w:t>
            </w:r>
          </w:p>
        </w:tc>
      </w:tr>
      <w:tr>
        <w:tblPrEx>
          <w:tblCellMar>
            <w:top w:w="0" w:type="dxa"/>
            <w:left w:w="0" w:type="dxa"/>
            <w:bottom w:w="0" w:type="dxa"/>
            <w:right w:w="0" w:type="dxa"/>
          </w:tblCellMar>
        </w:tblPrEx>
        <w:trPr>
          <w:trHeight w:val="329" w:hRule="atLeast"/>
        </w:trPr>
        <w:tc>
          <w:tcPr>
            <w:tcW w:w="1857" w:type="dxa"/>
            <w:vMerge w:val="continue"/>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606" w:type="dxa"/>
            <w:vMerge w:val="continue"/>
            <w:tcBorders>
              <w:top w:val="single" w:color="C0C0C0" w:sz="4" w:space="0"/>
              <w:left w:val="single" w:color="C0C0C0" w:sz="4" w:space="0"/>
              <w:bottom w:val="single" w:color="C0C0C0" w:sz="4" w:space="0"/>
              <w:right w:val="single" w:color="C0C0C0" w:sz="4" w:space="0"/>
            </w:tcBorders>
            <w:shd w:val="clear"/>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755"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满意度指标</w:t>
            </w:r>
          </w:p>
        </w:tc>
        <w:tc>
          <w:tcPr>
            <w:tcW w:w="1075"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服务对象满意度指标</w:t>
            </w:r>
          </w:p>
        </w:tc>
        <w:tc>
          <w:tcPr>
            <w:tcW w:w="1099"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全县干部职工</w:t>
            </w:r>
          </w:p>
        </w:tc>
        <w:tc>
          <w:tcPr>
            <w:tcW w:w="653"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w:t>
            </w:r>
          </w:p>
        </w:tc>
        <w:tc>
          <w:tcPr>
            <w:tcW w:w="0" w:type="auto"/>
            <w:tcBorders>
              <w:top w:val="single" w:color="C2C3C4" w:sz="4" w:space="0"/>
              <w:left w:val="single" w:color="C2C3C4" w:sz="4" w:space="0"/>
              <w:bottom w:val="single" w:color="C2C3C4" w:sz="4" w:space="0"/>
              <w:right w:val="single" w:color="C2C3C4"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bdr w:val="none" w:color="auto" w:sz="0" w:space="0"/>
                <w:lang w:val="en-US" w:eastAsia="zh-CN" w:bidi="ar"/>
              </w:rPr>
              <w:t>90</w:t>
            </w:r>
          </w:p>
        </w:tc>
        <w:tc>
          <w:tcPr>
            <w:tcW w:w="0" w:type="auto"/>
            <w:tcBorders>
              <w:top w:val="single" w:color="C2C3C4" w:sz="4" w:space="0"/>
              <w:left w:val="single" w:color="C2C3C4" w:sz="4" w:space="0"/>
              <w:bottom w:val="single" w:color="C2C3C4" w:sz="4" w:space="0"/>
              <w:right w:val="single" w:color="C2C3C4"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bdr w:val="none" w:color="auto" w:sz="0" w:space="0"/>
                <w:lang w:val="en-US" w:eastAsia="zh-CN" w:bidi="ar"/>
              </w:rPr>
              <w:t>%</w:t>
            </w:r>
          </w:p>
        </w:tc>
        <w:tc>
          <w:tcPr>
            <w:tcW w:w="0" w:type="auto"/>
            <w:tcBorders>
              <w:top w:val="single" w:color="C2C3C4" w:sz="4" w:space="0"/>
              <w:left w:val="single" w:color="C2C3C4" w:sz="4" w:space="0"/>
              <w:bottom w:val="single" w:color="C2C3C4" w:sz="4" w:space="0"/>
              <w:right w:val="single" w:color="C2C3C4"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bdr w:val="none" w:color="auto" w:sz="0" w:space="0"/>
                <w:lang w:val="en-US" w:eastAsia="zh-CN" w:bidi="ar"/>
              </w:rPr>
              <w:t>10</w:t>
            </w:r>
          </w:p>
        </w:tc>
      </w:tr>
      <w:tr>
        <w:tblPrEx>
          <w:shd w:val="clear"/>
          <w:tblCellMar>
            <w:top w:w="0" w:type="dxa"/>
            <w:left w:w="0" w:type="dxa"/>
            <w:bottom w:w="0" w:type="dxa"/>
            <w:right w:w="0" w:type="dxa"/>
          </w:tblCellMar>
        </w:tblPrEx>
        <w:trPr>
          <w:trHeight w:val="329" w:hRule="atLeast"/>
        </w:trPr>
        <w:tc>
          <w:tcPr>
            <w:tcW w:w="1857" w:type="dxa"/>
            <w:vMerge w:val="continue"/>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606" w:type="dxa"/>
            <w:vMerge w:val="continue"/>
            <w:tcBorders>
              <w:top w:val="single" w:color="C0C0C0" w:sz="4" w:space="0"/>
              <w:left w:val="single" w:color="C0C0C0" w:sz="4" w:space="0"/>
              <w:bottom w:val="single" w:color="C0C0C0" w:sz="4" w:space="0"/>
              <w:right w:val="single" w:color="C0C0C0" w:sz="4" w:space="0"/>
            </w:tcBorders>
            <w:shd w:val="clear"/>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755"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成本指标</w:t>
            </w:r>
          </w:p>
        </w:tc>
        <w:tc>
          <w:tcPr>
            <w:tcW w:w="1075"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经济成本指标</w:t>
            </w:r>
          </w:p>
        </w:tc>
        <w:tc>
          <w:tcPr>
            <w:tcW w:w="1099"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奖补资金</w:t>
            </w:r>
          </w:p>
        </w:tc>
        <w:tc>
          <w:tcPr>
            <w:tcW w:w="653"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w:t>
            </w:r>
          </w:p>
        </w:tc>
        <w:tc>
          <w:tcPr>
            <w:tcW w:w="0" w:type="auto"/>
            <w:tcBorders>
              <w:top w:val="single" w:color="C2C3C4" w:sz="4" w:space="0"/>
              <w:left w:val="single" w:color="C2C3C4" w:sz="4" w:space="0"/>
              <w:bottom w:val="single" w:color="C2C3C4" w:sz="4" w:space="0"/>
              <w:right w:val="single" w:color="C2C3C4"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bdr w:val="none" w:color="auto" w:sz="0" w:space="0"/>
                <w:lang w:val="en-US" w:eastAsia="zh-CN" w:bidi="ar"/>
              </w:rPr>
              <w:t>1000000</w:t>
            </w:r>
          </w:p>
        </w:tc>
        <w:tc>
          <w:tcPr>
            <w:tcW w:w="0" w:type="auto"/>
            <w:tcBorders>
              <w:top w:val="single" w:color="C2C3C4" w:sz="4" w:space="0"/>
              <w:left w:val="single" w:color="C2C3C4" w:sz="4" w:space="0"/>
              <w:bottom w:val="single" w:color="C2C3C4" w:sz="4" w:space="0"/>
              <w:right w:val="single" w:color="C2C3C4"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bdr w:val="none" w:color="auto" w:sz="0" w:space="0"/>
                <w:lang w:val="en-US" w:eastAsia="zh-CN" w:bidi="ar"/>
              </w:rPr>
              <w:t>元</w:t>
            </w:r>
          </w:p>
        </w:tc>
        <w:tc>
          <w:tcPr>
            <w:tcW w:w="0" w:type="auto"/>
            <w:tcBorders>
              <w:top w:val="single" w:color="C2C3C4" w:sz="4" w:space="0"/>
              <w:left w:val="single" w:color="C2C3C4" w:sz="4" w:space="0"/>
              <w:bottom w:val="single" w:color="C2C3C4" w:sz="4" w:space="0"/>
              <w:right w:val="single" w:color="C2C3C4"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bdr w:val="none" w:color="auto" w:sz="0" w:space="0"/>
                <w:lang w:val="en-US" w:eastAsia="zh-CN" w:bidi="ar"/>
              </w:rPr>
              <w:t>10</w:t>
            </w:r>
          </w:p>
        </w:tc>
      </w:tr>
      <w:tr>
        <w:tblPrEx>
          <w:tblCellMar>
            <w:top w:w="0" w:type="dxa"/>
            <w:left w:w="0" w:type="dxa"/>
            <w:bottom w:w="0" w:type="dxa"/>
            <w:right w:w="0" w:type="dxa"/>
          </w:tblCellMar>
        </w:tblPrEx>
        <w:trPr>
          <w:trHeight w:val="329" w:hRule="atLeast"/>
        </w:trPr>
        <w:tc>
          <w:tcPr>
            <w:tcW w:w="1857" w:type="dxa"/>
            <w:vMerge w:val="continue"/>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606" w:type="dxa"/>
            <w:vMerge w:val="continue"/>
            <w:tcBorders>
              <w:top w:val="single" w:color="C0C0C0" w:sz="4" w:space="0"/>
              <w:left w:val="single" w:color="C0C0C0" w:sz="4" w:space="0"/>
              <w:bottom w:val="single" w:color="C0C0C0" w:sz="4" w:space="0"/>
              <w:right w:val="single" w:color="C0C0C0" w:sz="4" w:space="0"/>
            </w:tcBorders>
            <w:shd w:val="clear"/>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755"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产出指标</w:t>
            </w:r>
          </w:p>
        </w:tc>
        <w:tc>
          <w:tcPr>
            <w:tcW w:w="1075"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数量指标</w:t>
            </w:r>
          </w:p>
        </w:tc>
        <w:tc>
          <w:tcPr>
            <w:tcW w:w="1099"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项目实施地</w:t>
            </w:r>
          </w:p>
        </w:tc>
        <w:tc>
          <w:tcPr>
            <w:tcW w:w="653"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w:t>
            </w:r>
          </w:p>
        </w:tc>
        <w:tc>
          <w:tcPr>
            <w:tcW w:w="0" w:type="auto"/>
            <w:tcBorders>
              <w:top w:val="single" w:color="C2C3C4" w:sz="4" w:space="0"/>
              <w:left w:val="single" w:color="C2C3C4" w:sz="4" w:space="0"/>
              <w:bottom w:val="single" w:color="C2C3C4" w:sz="4" w:space="0"/>
              <w:right w:val="single" w:color="C2C3C4"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bdr w:val="none" w:color="auto" w:sz="0" w:space="0"/>
                <w:lang w:val="en-US" w:eastAsia="zh-CN" w:bidi="ar"/>
              </w:rPr>
              <w:t>1</w:t>
            </w:r>
          </w:p>
        </w:tc>
        <w:tc>
          <w:tcPr>
            <w:tcW w:w="0" w:type="auto"/>
            <w:tcBorders>
              <w:top w:val="single" w:color="C2C3C4" w:sz="4" w:space="0"/>
              <w:left w:val="single" w:color="C2C3C4" w:sz="4" w:space="0"/>
              <w:bottom w:val="single" w:color="C2C3C4" w:sz="4" w:space="0"/>
              <w:right w:val="single" w:color="C2C3C4"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bdr w:val="none" w:color="auto" w:sz="0" w:space="0"/>
                <w:lang w:val="en-US" w:eastAsia="zh-CN" w:bidi="ar"/>
              </w:rPr>
              <w:t>个</w:t>
            </w:r>
          </w:p>
        </w:tc>
        <w:tc>
          <w:tcPr>
            <w:tcW w:w="0" w:type="auto"/>
            <w:tcBorders>
              <w:top w:val="single" w:color="C2C3C4" w:sz="4" w:space="0"/>
              <w:left w:val="single" w:color="C2C3C4" w:sz="4" w:space="0"/>
              <w:bottom w:val="single" w:color="C2C3C4" w:sz="4" w:space="0"/>
              <w:right w:val="single" w:color="C2C3C4"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bdr w:val="none" w:color="auto" w:sz="0" w:space="0"/>
                <w:lang w:val="en-US" w:eastAsia="zh-CN" w:bidi="ar"/>
              </w:rPr>
              <w:t>10</w:t>
            </w:r>
          </w:p>
        </w:tc>
      </w:tr>
      <w:tr>
        <w:tblPrEx>
          <w:shd w:val="clear"/>
          <w:tblCellMar>
            <w:top w:w="0" w:type="dxa"/>
            <w:left w:w="0" w:type="dxa"/>
            <w:bottom w:w="0" w:type="dxa"/>
            <w:right w:w="0" w:type="dxa"/>
          </w:tblCellMar>
        </w:tblPrEx>
        <w:trPr>
          <w:trHeight w:val="587" w:hRule="atLeast"/>
        </w:trPr>
        <w:tc>
          <w:tcPr>
            <w:tcW w:w="1857" w:type="dxa"/>
            <w:vMerge w:val="continue"/>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606" w:type="dxa"/>
            <w:vMerge w:val="continue"/>
            <w:tcBorders>
              <w:top w:val="single" w:color="C0C0C0" w:sz="4" w:space="0"/>
              <w:left w:val="single" w:color="C0C0C0" w:sz="4" w:space="0"/>
              <w:bottom w:val="single" w:color="C0C0C0" w:sz="4" w:space="0"/>
              <w:right w:val="single" w:color="C0C0C0" w:sz="4" w:space="0"/>
            </w:tcBorders>
            <w:shd w:val="clear"/>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755"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效益指标</w:t>
            </w:r>
          </w:p>
        </w:tc>
        <w:tc>
          <w:tcPr>
            <w:tcW w:w="1075"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社会效益指标</w:t>
            </w:r>
          </w:p>
        </w:tc>
        <w:tc>
          <w:tcPr>
            <w:tcW w:w="1099"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广泛激发大众爱国主义情怀</w:t>
            </w:r>
          </w:p>
        </w:tc>
        <w:tc>
          <w:tcPr>
            <w:tcW w:w="653"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w:t>
            </w:r>
          </w:p>
        </w:tc>
        <w:tc>
          <w:tcPr>
            <w:tcW w:w="0" w:type="auto"/>
            <w:tcBorders>
              <w:top w:val="single" w:color="C2C3C4" w:sz="4" w:space="0"/>
              <w:left w:val="single" w:color="C2C3C4" w:sz="4" w:space="0"/>
              <w:bottom w:val="single" w:color="C2C3C4" w:sz="4" w:space="0"/>
              <w:right w:val="single" w:color="C2C3C4"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bdr w:val="none" w:color="auto" w:sz="0" w:space="0"/>
                <w:lang w:val="en-US" w:eastAsia="zh-CN" w:bidi="ar"/>
              </w:rPr>
              <w:t>80</w:t>
            </w:r>
          </w:p>
        </w:tc>
        <w:tc>
          <w:tcPr>
            <w:tcW w:w="0" w:type="auto"/>
            <w:tcBorders>
              <w:top w:val="single" w:color="C2C3C4" w:sz="4" w:space="0"/>
              <w:left w:val="single" w:color="C2C3C4" w:sz="4" w:space="0"/>
              <w:bottom w:val="single" w:color="C2C3C4" w:sz="4" w:space="0"/>
              <w:right w:val="single" w:color="C2C3C4"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bdr w:val="none" w:color="auto" w:sz="0" w:space="0"/>
                <w:lang w:val="en-US" w:eastAsia="zh-CN" w:bidi="ar"/>
              </w:rPr>
              <w:t>%</w:t>
            </w:r>
          </w:p>
        </w:tc>
        <w:tc>
          <w:tcPr>
            <w:tcW w:w="0" w:type="auto"/>
            <w:tcBorders>
              <w:top w:val="single" w:color="C2C3C4" w:sz="4" w:space="0"/>
              <w:left w:val="single" w:color="C2C3C4" w:sz="4" w:space="0"/>
              <w:bottom w:val="single" w:color="C2C3C4" w:sz="4" w:space="0"/>
              <w:right w:val="single" w:color="C2C3C4"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bdr w:val="none" w:color="auto" w:sz="0" w:space="0"/>
                <w:lang w:val="en-US" w:eastAsia="zh-CN" w:bidi="ar"/>
              </w:rPr>
              <w:t>5</w:t>
            </w:r>
          </w:p>
        </w:tc>
      </w:tr>
      <w:tr>
        <w:tblPrEx>
          <w:tblCellMar>
            <w:top w:w="0" w:type="dxa"/>
            <w:left w:w="0" w:type="dxa"/>
            <w:bottom w:w="0" w:type="dxa"/>
            <w:right w:w="0" w:type="dxa"/>
          </w:tblCellMar>
        </w:tblPrEx>
        <w:trPr>
          <w:trHeight w:val="329" w:hRule="atLeast"/>
        </w:trPr>
        <w:tc>
          <w:tcPr>
            <w:tcW w:w="1857" w:type="dxa"/>
            <w:vMerge w:val="continue"/>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606" w:type="dxa"/>
            <w:vMerge w:val="continue"/>
            <w:tcBorders>
              <w:top w:val="single" w:color="C0C0C0" w:sz="4" w:space="0"/>
              <w:left w:val="single" w:color="C0C0C0" w:sz="4" w:space="0"/>
              <w:bottom w:val="single" w:color="C0C0C0" w:sz="4" w:space="0"/>
              <w:right w:val="single" w:color="C0C0C0" w:sz="4" w:space="0"/>
            </w:tcBorders>
            <w:shd w:val="clear"/>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755"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产出指标</w:t>
            </w:r>
          </w:p>
        </w:tc>
        <w:tc>
          <w:tcPr>
            <w:tcW w:w="1075"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时效指标</w:t>
            </w:r>
          </w:p>
        </w:tc>
        <w:tc>
          <w:tcPr>
            <w:tcW w:w="1099"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资金使用年限</w:t>
            </w:r>
          </w:p>
        </w:tc>
        <w:tc>
          <w:tcPr>
            <w:tcW w:w="653"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w:t>
            </w:r>
          </w:p>
        </w:tc>
        <w:tc>
          <w:tcPr>
            <w:tcW w:w="0" w:type="auto"/>
            <w:tcBorders>
              <w:top w:val="single" w:color="C2C3C4" w:sz="4" w:space="0"/>
              <w:left w:val="single" w:color="C2C3C4" w:sz="4" w:space="0"/>
              <w:bottom w:val="single" w:color="C2C3C4" w:sz="4" w:space="0"/>
              <w:right w:val="single" w:color="C2C3C4"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bdr w:val="none" w:color="auto" w:sz="0" w:space="0"/>
                <w:lang w:val="en-US" w:eastAsia="zh-CN" w:bidi="ar"/>
              </w:rPr>
              <w:t>2</w:t>
            </w:r>
          </w:p>
        </w:tc>
        <w:tc>
          <w:tcPr>
            <w:tcW w:w="0" w:type="auto"/>
            <w:tcBorders>
              <w:top w:val="single" w:color="C2C3C4" w:sz="4" w:space="0"/>
              <w:left w:val="single" w:color="C2C3C4" w:sz="4" w:space="0"/>
              <w:bottom w:val="single" w:color="C2C3C4" w:sz="4" w:space="0"/>
              <w:right w:val="single" w:color="C2C3C4"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bdr w:val="none" w:color="auto" w:sz="0" w:space="0"/>
                <w:lang w:val="en-US" w:eastAsia="zh-CN" w:bidi="ar"/>
              </w:rPr>
              <w:t>年</w:t>
            </w:r>
          </w:p>
        </w:tc>
        <w:tc>
          <w:tcPr>
            <w:tcW w:w="0" w:type="auto"/>
            <w:tcBorders>
              <w:top w:val="single" w:color="C2C3C4" w:sz="4" w:space="0"/>
              <w:left w:val="single" w:color="C2C3C4" w:sz="4" w:space="0"/>
              <w:bottom w:val="single" w:color="C2C3C4" w:sz="4" w:space="0"/>
              <w:right w:val="single" w:color="C2C3C4"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bdr w:val="none" w:color="auto" w:sz="0" w:space="0"/>
                <w:lang w:val="en-US" w:eastAsia="zh-CN" w:bidi="ar"/>
              </w:rPr>
              <w:t>10</w:t>
            </w:r>
          </w:p>
        </w:tc>
      </w:tr>
      <w:tr>
        <w:tblPrEx>
          <w:shd w:val="clear"/>
          <w:tblCellMar>
            <w:top w:w="0" w:type="dxa"/>
            <w:left w:w="0" w:type="dxa"/>
            <w:bottom w:w="0" w:type="dxa"/>
            <w:right w:w="0" w:type="dxa"/>
          </w:tblCellMar>
        </w:tblPrEx>
        <w:trPr>
          <w:trHeight w:val="329" w:hRule="atLeast"/>
        </w:trPr>
        <w:tc>
          <w:tcPr>
            <w:tcW w:w="1857" w:type="dxa"/>
            <w:vMerge w:val="continue"/>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606" w:type="dxa"/>
            <w:vMerge w:val="continue"/>
            <w:tcBorders>
              <w:top w:val="single" w:color="C0C0C0" w:sz="4" w:space="0"/>
              <w:left w:val="single" w:color="C0C0C0" w:sz="4" w:space="0"/>
              <w:bottom w:val="single" w:color="C0C0C0" w:sz="4" w:space="0"/>
              <w:right w:val="single" w:color="C0C0C0" w:sz="4" w:space="0"/>
            </w:tcBorders>
            <w:shd w:val="clear"/>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755"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产出指标</w:t>
            </w:r>
          </w:p>
        </w:tc>
        <w:tc>
          <w:tcPr>
            <w:tcW w:w="1075"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数量指标</w:t>
            </w:r>
          </w:p>
        </w:tc>
        <w:tc>
          <w:tcPr>
            <w:tcW w:w="1099"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参观学习人数</w:t>
            </w:r>
          </w:p>
        </w:tc>
        <w:tc>
          <w:tcPr>
            <w:tcW w:w="653"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w:t>
            </w:r>
          </w:p>
        </w:tc>
        <w:tc>
          <w:tcPr>
            <w:tcW w:w="0" w:type="auto"/>
            <w:tcBorders>
              <w:top w:val="single" w:color="C2C3C4" w:sz="4" w:space="0"/>
              <w:left w:val="single" w:color="C2C3C4" w:sz="4" w:space="0"/>
              <w:bottom w:val="single" w:color="C2C3C4" w:sz="4" w:space="0"/>
              <w:right w:val="single" w:color="C2C3C4"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bdr w:val="none" w:color="auto" w:sz="0" w:space="0"/>
                <w:lang w:val="en-US" w:eastAsia="zh-CN" w:bidi="ar"/>
              </w:rPr>
              <w:t>2000</w:t>
            </w:r>
          </w:p>
        </w:tc>
        <w:tc>
          <w:tcPr>
            <w:tcW w:w="0" w:type="auto"/>
            <w:tcBorders>
              <w:top w:val="single" w:color="C2C3C4" w:sz="4" w:space="0"/>
              <w:left w:val="single" w:color="C2C3C4" w:sz="4" w:space="0"/>
              <w:bottom w:val="single" w:color="C2C3C4" w:sz="4" w:space="0"/>
              <w:right w:val="single" w:color="C2C3C4"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bdr w:val="none" w:color="auto" w:sz="0" w:space="0"/>
                <w:lang w:val="en-US" w:eastAsia="zh-CN" w:bidi="ar"/>
              </w:rPr>
              <w:t>人</w:t>
            </w:r>
          </w:p>
        </w:tc>
        <w:tc>
          <w:tcPr>
            <w:tcW w:w="0" w:type="auto"/>
            <w:tcBorders>
              <w:top w:val="single" w:color="C2C3C4" w:sz="4" w:space="0"/>
              <w:left w:val="single" w:color="C2C3C4" w:sz="4" w:space="0"/>
              <w:bottom w:val="single" w:color="C2C3C4" w:sz="4" w:space="0"/>
              <w:right w:val="single" w:color="C2C3C4"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bdr w:val="none" w:color="auto" w:sz="0" w:space="0"/>
                <w:lang w:val="en-US" w:eastAsia="zh-CN" w:bidi="ar"/>
              </w:rPr>
              <w:t>10</w:t>
            </w:r>
          </w:p>
        </w:tc>
      </w:tr>
      <w:tr>
        <w:tblPrEx>
          <w:tblCellMar>
            <w:top w:w="0" w:type="dxa"/>
            <w:left w:w="0" w:type="dxa"/>
            <w:bottom w:w="0" w:type="dxa"/>
            <w:right w:w="0" w:type="dxa"/>
          </w:tblCellMar>
        </w:tblPrEx>
        <w:trPr>
          <w:trHeight w:val="878" w:hRule="atLeast"/>
        </w:trPr>
        <w:tc>
          <w:tcPr>
            <w:tcW w:w="1857" w:type="dxa"/>
            <w:vMerge w:val="continue"/>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606" w:type="dxa"/>
            <w:vMerge w:val="continue"/>
            <w:tcBorders>
              <w:top w:val="single" w:color="C0C0C0" w:sz="4" w:space="0"/>
              <w:left w:val="single" w:color="C0C0C0" w:sz="4" w:space="0"/>
              <w:bottom w:val="single" w:color="C0C0C0" w:sz="4" w:space="0"/>
              <w:right w:val="single" w:color="C0C0C0" w:sz="4" w:space="0"/>
            </w:tcBorders>
            <w:shd w:val="clear"/>
            <w:tcMar>
              <w:top w:w="15" w:type="dxa"/>
              <w:left w:w="15" w:type="dxa"/>
              <w:right w:w="15" w:type="dxa"/>
            </w:tcMar>
            <w:vAlign w:val="center"/>
          </w:tcPr>
          <w:p>
            <w:pPr>
              <w:jc w:val="right"/>
              <w:rPr>
                <w:rFonts w:hint="eastAsia" w:ascii="宋体" w:hAnsi="宋体" w:eastAsia="宋体" w:cs="宋体"/>
                <w:i w:val="0"/>
                <w:color w:val="000000"/>
                <w:sz w:val="18"/>
                <w:szCs w:val="18"/>
                <w:u w:val="none"/>
              </w:rPr>
            </w:pPr>
          </w:p>
        </w:tc>
        <w:tc>
          <w:tcPr>
            <w:tcW w:w="755"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产出指标</w:t>
            </w:r>
          </w:p>
        </w:tc>
        <w:tc>
          <w:tcPr>
            <w:tcW w:w="1075"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质量指标</w:t>
            </w:r>
          </w:p>
        </w:tc>
        <w:tc>
          <w:tcPr>
            <w:tcW w:w="1099"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打造爱国主义教育基地，广泛使用</w:t>
            </w:r>
          </w:p>
        </w:tc>
        <w:tc>
          <w:tcPr>
            <w:tcW w:w="653" w:type="dxa"/>
            <w:tcBorders>
              <w:top w:val="single" w:color="C2C3C4" w:sz="4" w:space="0"/>
              <w:left w:val="single" w:color="C2C3C4" w:sz="4" w:space="0"/>
              <w:bottom w:val="single" w:color="C2C3C4" w:sz="4" w:space="0"/>
              <w:right w:val="single" w:color="C2C3C4"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2"/>
                <w:bdr w:val="none" w:color="auto" w:sz="0" w:space="0"/>
                <w:lang w:val="en-US" w:eastAsia="zh-CN" w:bidi="ar"/>
              </w:rPr>
              <w:t>≥</w:t>
            </w:r>
          </w:p>
        </w:tc>
        <w:tc>
          <w:tcPr>
            <w:tcW w:w="0" w:type="auto"/>
            <w:tcBorders>
              <w:top w:val="single" w:color="C2C3C4" w:sz="4" w:space="0"/>
              <w:left w:val="single" w:color="C2C3C4" w:sz="4" w:space="0"/>
              <w:bottom w:val="single" w:color="C2C3C4" w:sz="4" w:space="0"/>
              <w:right w:val="single" w:color="C2C3C4"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bdr w:val="none" w:color="auto" w:sz="0" w:space="0"/>
                <w:lang w:val="en-US" w:eastAsia="zh-CN" w:bidi="ar"/>
              </w:rPr>
              <w:t>80</w:t>
            </w:r>
          </w:p>
        </w:tc>
        <w:tc>
          <w:tcPr>
            <w:tcW w:w="0" w:type="auto"/>
            <w:tcBorders>
              <w:top w:val="single" w:color="C2C3C4" w:sz="4" w:space="0"/>
              <w:left w:val="single" w:color="C2C3C4" w:sz="4" w:space="0"/>
              <w:bottom w:val="single" w:color="C2C3C4" w:sz="4" w:space="0"/>
              <w:right w:val="single" w:color="C2C3C4"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bdr w:val="none" w:color="auto" w:sz="0" w:space="0"/>
                <w:lang w:val="en-US" w:eastAsia="zh-CN" w:bidi="ar"/>
              </w:rPr>
              <w:t>%</w:t>
            </w:r>
          </w:p>
        </w:tc>
        <w:tc>
          <w:tcPr>
            <w:tcW w:w="0" w:type="auto"/>
            <w:tcBorders>
              <w:top w:val="single" w:color="C2C3C4" w:sz="4" w:space="0"/>
              <w:left w:val="single" w:color="C2C3C4" w:sz="4" w:space="0"/>
              <w:bottom w:val="single" w:color="C2C3C4" w:sz="4" w:space="0"/>
              <w:right w:val="single" w:color="C2C3C4"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bdr w:val="none" w:color="auto" w:sz="0" w:space="0"/>
                <w:lang w:val="en-US" w:eastAsia="zh-CN" w:bidi="ar"/>
              </w:rPr>
              <w:t>10</w:t>
            </w:r>
          </w:p>
        </w:tc>
      </w:tr>
    </w:tbl>
    <w:tbl>
      <w:tblPr>
        <w:tblStyle w:val="6"/>
        <w:tblpPr w:leftFromText="180" w:rightFromText="180" w:vertAnchor="text" w:horzAnchor="page" w:tblpX="1879" w:tblpY="407"/>
        <w:tblOverlap w:val="never"/>
        <w:tblW w:w="8336" w:type="dxa"/>
        <w:tblInd w:w="0" w:type="dxa"/>
        <w:shd w:val="clear" w:color="auto" w:fill="auto"/>
        <w:tblLayout w:type="autofit"/>
        <w:tblCellMar>
          <w:top w:w="0" w:type="dxa"/>
          <w:left w:w="0" w:type="dxa"/>
          <w:bottom w:w="0" w:type="dxa"/>
          <w:right w:w="0" w:type="dxa"/>
        </w:tblCellMar>
      </w:tblPr>
      <w:tblGrid>
        <w:gridCol w:w="984"/>
        <w:gridCol w:w="1341"/>
        <w:gridCol w:w="2214"/>
        <w:gridCol w:w="908"/>
        <w:gridCol w:w="949"/>
        <w:gridCol w:w="758"/>
        <w:gridCol w:w="570"/>
        <w:gridCol w:w="612"/>
      </w:tblGrid>
      <w:tr>
        <w:tblPrEx>
          <w:shd w:val="clear" w:color="auto" w:fill="auto"/>
          <w:tblCellMar>
            <w:top w:w="0" w:type="dxa"/>
            <w:left w:w="0" w:type="dxa"/>
            <w:bottom w:w="0" w:type="dxa"/>
            <w:right w:w="0" w:type="dxa"/>
          </w:tblCellMar>
        </w:tblPrEx>
        <w:trPr>
          <w:trHeight w:val="457" w:hRule="atLeast"/>
        </w:trPr>
        <w:tc>
          <w:tcPr>
            <w:tcW w:w="9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产出指标</w:t>
            </w:r>
          </w:p>
        </w:tc>
        <w:tc>
          <w:tcPr>
            <w:tcW w:w="13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数量指标</w:t>
            </w:r>
          </w:p>
        </w:tc>
        <w:tc>
          <w:tcPr>
            <w:tcW w:w="221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教育基地经费投入率</w:t>
            </w:r>
          </w:p>
        </w:tc>
        <w:tc>
          <w:tcPr>
            <w:tcW w:w="90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w:t>
            </w:r>
          </w:p>
        </w:tc>
        <w:tc>
          <w:tcPr>
            <w:tcW w:w="94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等线" w:hAnsi="等线" w:eastAsia="等线" w:cs="等线"/>
                <w:i w:val="0"/>
                <w:color w:val="000000"/>
                <w:sz w:val="18"/>
                <w:szCs w:val="18"/>
                <w:u w:val="none"/>
              </w:rPr>
            </w:pPr>
          </w:p>
        </w:tc>
        <w:tc>
          <w:tcPr>
            <w:tcW w:w="7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100</w:t>
            </w:r>
          </w:p>
        </w:tc>
        <w:tc>
          <w:tcPr>
            <w:tcW w:w="5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w:t>
            </w:r>
          </w:p>
        </w:tc>
        <w:tc>
          <w:tcPr>
            <w:tcW w:w="6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9</w:t>
            </w:r>
          </w:p>
        </w:tc>
      </w:tr>
      <w:tr>
        <w:tblPrEx>
          <w:tblCellMar>
            <w:top w:w="0" w:type="dxa"/>
            <w:left w:w="0" w:type="dxa"/>
            <w:bottom w:w="0" w:type="dxa"/>
            <w:right w:w="0" w:type="dxa"/>
          </w:tblCellMar>
        </w:tblPrEx>
        <w:trPr>
          <w:trHeight w:val="457" w:hRule="atLeast"/>
        </w:trPr>
        <w:tc>
          <w:tcPr>
            <w:tcW w:w="9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产出指标</w:t>
            </w:r>
          </w:p>
        </w:tc>
        <w:tc>
          <w:tcPr>
            <w:tcW w:w="13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数量指标</w:t>
            </w:r>
          </w:p>
        </w:tc>
        <w:tc>
          <w:tcPr>
            <w:tcW w:w="221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经费指标</w:t>
            </w:r>
          </w:p>
        </w:tc>
        <w:tc>
          <w:tcPr>
            <w:tcW w:w="90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w:t>
            </w:r>
          </w:p>
        </w:tc>
        <w:tc>
          <w:tcPr>
            <w:tcW w:w="94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等线" w:hAnsi="等线" w:eastAsia="等线" w:cs="等线"/>
                <w:i w:val="0"/>
                <w:color w:val="000000"/>
                <w:sz w:val="18"/>
                <w:szCs w:val="18"/>
                <w:u w:val="none"/>
              </w:rPr>
            </w:pPr>
          </w:p>
        </w:tc>
        <w:tc>
          <w:tcPr>
            <w:tcW w:w="7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100</w:t>
            </w:r>
          </w:p>
        </w:tc>
        <w:tc>
          <w:tcPr>
            <w:tcW w:w="5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万元</w:t>
            </w:r>
          </w:p>
        </w:tc>
        <w:tc>
          <w:tcPr>
            <w:tcW w:w="6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9</w:t>
            </w:r>
          </w:p>
        </w:tc>
      </w:tr>
      <w:tr>
        <w:tblPrEx>
          <w:tblCellMar>
            <w:top w:w="0" w:type="dxa"/>
            <w:left w:w="0" w:type="dxa"/>
            <w:bottom w:w="0" w:type="dxa"/>
            <w:right w:w="0" w:type="dxa"/>
          </w:tblCellMar>
        </w:tblPrEx>
        <w:trPr>
          <w:trHeight w:val="457" w:hRule="atLeast"/>
        </w:trPr>
        <w:tc>
          <w:tcPr>
            <w:tcW w:w="9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产出指标</w:t>
            </w:r>
          </w:p>
        </w:tc>
        <w:tc>
          <w:tcPr>
            <w:tcW w:w="13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质量指标</w:t>
            </w:r>
          </w:p>
        </w:tc>
        <w:tc>
          <w:tcPr>
            <w:tcW w:w="221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使用时间</w:t>
            </w:r>
          </w:p>
        </w:tc>
        <w:tc>
          <w:tcPr>
            <w:tcW w:w="90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w:t>
            </w:r>
          </w:p>
        </w:tc>
        <w:tc>
          <w:tcPr>
            <w:tcW w:w="94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等线" w:hAnsi="等线" w:eastAsia="等线" w:cs="等线"/>
                <w:i w:val="0"/>
                <w:color w:val="000000"/>
                <w:sz w:val="18"/>
                <w:szCs w:val="18"/>
                <w:u w:val="none"/>
              </w:rPr>
            </w:pPr>
          </w:p>
        </w:tc>
        <w:tc>
          <w:tcPr>
            <w:tcW w:w="7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1</w:t>
            </w:r>
          </w:p>
        </w:tc>
        <w:tc>
          <w:tcPr>
            <w:tcW w:w="5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年</w:t>
            </w:r>
          </w:p>
        </w:tc>
        <w:tc>
          <w:tcPr>
            <w:tcW w:w="6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9</w:t>
            </w:r>
          </w:p>
        </w:tc>
      </w:tr>
      <w:tr>
        <w:tblPrEx>
          <w:tblCellMar>
            <w:top w:w="0" w:type="dxa"/>
            <w:left w:w="0" w:type="dxa"/>
            <w:bottom w:w="0" w:type="dxa"/>
            <w:right w:w="0" w:type="dxa"/>
          </w:tblCellMar>
        </w:tblPrEx>
        <w:trPr>
          <w:trHeight w:val="457" w:hRule="atLeast"/>
        </w:trPr>
        <w:tc>
          <w:tcPr>
            <w:tcW w:w="9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产出指标</w:t>
            </w:r>
          </w:p>
        </w:tc>
        <w:tc>
          <w:tcPr>
            <w:tcW w:w="13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成本指标</w:t>
            </w:r>
          </w:p>
        </w:tc>
        <w:tc>
          <w:tcPr>
            <w:tcW w:w="221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教育基地经费配套</w:t>
            </w:r>
          </w:p>
        </w:tc>
        <w:tc>
          <w:tcPr>
            <w:tcW w:w="90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w:t>
            </w:r>
          </w:p>
        </w:tc>
        <w:tc>
          <w:tcPr>
            <w:tcW w:w="94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等线" w:hAnsi="等线" w:eastAsia="等线" w:cs="等线"/>
                <w:i w:val="0"/>
                <w:color w:val="000000"/>
                <w:sz w:val="18"/>
                <w:szCs w:val="18"/>
                <w:u w:val="none"/>
              </w:rPr>
            </w:pPr>
          </w:p>
        </w:tc>
        <w:tc>
          <w:tcPr>
            <w:tcW w:w="7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100</w:t>
            </w:r>
          </w:p>
        </w:tc>
        <w:tc>
          <w:tcPr>
            <w:tcW w:w="5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万元</w:t>
            </w:r>
          </w:p>
        </w:tc>
        <w:tc>
          <w:tcPr>
            <w:tcW w:w="6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9</w:t>
            </w:r>
          </w:p>
        </w:tc>
      </w:tr>
      <w:tr>
        <w:tblPrEx>
          <w:tblCellMar>
            <w:top w:w="0" w:type="dxa"/>
            <w:left w:w="0" w:type="dxa"/>
            <w:bottom w:w="0" w:type="dxa"/>
            <w:right w:w="0" w:type="dxa"/>
          </w:tblCellMar>
        </w:tblPrEx>
        <w:trPr>
          <w:trHeight w:val="457" w:hRule="atLeast"/>
        </w:trPr>
        <w:tc>
          <w:tcPr>
            <w:tcW w:w="9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产出指标</w:t>
            </w:r>
          </w:p>
        </w:tc>
        <w:tc>
          <w:tcPr>
            <w:tcW w:w="13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时效指标</w:t>
            </w:r>
          </w:p>
        </w:tc>
        <w:tc>
          <w:tcPr>
            <w:tcW w:w="221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教育基地经费成本</w:t>
            </w:r>
          </w:p>
        </w:tc>
        <w:tc>
          <w:tcPr>
            <w:tcW w:w="90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w:t>
            </w:r>
          </w:p>
        </w:tc>
        <w:tc>
          <w:tcPr>
            <w:tcW w:w="94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等线" w:hAnsi="等线" w:eastAsia="等线" w:cs="等线"/>
                <w:i w:val="0"/>
                <w:color w:val="000000"/>
                <w:sz w:val="18"/>
                <w:szCs w:val="18"/>
                <w:u w:val="none"/>
              </w:rPr>
            </w:pPr>
          </w:p>
        </w:tc>
        <w:tc>
          <w:tcPr>
            <w:tcW w:w="7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100</w:t>
            </w:r>
          </w:p>
        </w:tc>
        <w:tc>
          <w:tcPr>
            <w:tcW w:w="5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万元</w:t>
            </w:r>
          </w:p>
        </w:tc>
        <w:tc>
          <w:tcPr>
            <w:tcW w:w="6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9</w:t>
            </w:r>
          </w:p>
        </w:tc>
      </w:tr>
      <w:tr>
        <w:tblPrEx>
          <w:tblCellMar>
            <w:top w:w="0" w:type="dxa"/>
            <w:left w:w="0" w:type="dxa"/>
            <w:bottom w:w="0" w:type="dxa"/>
            <w:right w:w="0" w:type="dxa"/>
          </w:tblCellMar>
        </w:tblPrEx>
        <w:trPr>
          <w:trHeight w:val="457" w:hRule="atLeast"/>
        </w:trPr>
        <w:tc>
          <w:tcPr>
            <w:tcW w:w="9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效益指标</w:t>
            </w:r>
          </w:p>
        </w:tc>
        <w:tc>
          <w:tcPr>
            <w:tcW w:w="13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生态效益指标</w:t>
            </w:r>
          </w:p>
        </w:tc>
        <w:tc>
          <w:tcPr>
            <w:tcW w:w="221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无</w:t>
            </w:r>
          </w:p>
        </w:tc>
        <w:tc>
          <w:tcPr>
            <w:tcW w:w="90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定性</w:t>
            </w:r>
          </w:p>
        </w:tc>
        <w:tc>
          <w:tcPr>
            <w:tcW w:w="94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等线" w:hAnsi="等线" w:eastAsia="等线" w:cs="等线"/>
                <w:i w:val="0"/>
                <w:color w:val="000000"/>
                <w:sz w:val="18"/>
                <w:szCs w:val="18"/>
                <w:u w:val="none"/>
              </w:rPr>
            </w:pPr>
          </w:p>
        </w:tc>
        <w:tc>
          <w:tcPr>
            <w:tcW w:w="7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优良中低差</w:t>
            </w:r>
          </w:p>
        </w:tc>
        <w:tc>
          <w:tcPr>
            <w:tcW w:w="5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等线" w:hAnsi="等线" w:eastAsia="等线" w:cs="等线"/>
                <w:i w:val="0"/>
                <w:color w:val="000000"/>
                <w:sz w:val="18"/>
                <w:szCs w:val="18"/>
                <w:u w:val="none"/>
              </w:rPr>
            </w:pPr>
          </w:p>
        </w:tc>
        <w:tc>
          <w:tcPr>
            <w:tcW w:w="6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9</w:t>
            </w:r>
          </w:p>
        </w:tc>
      </w:tr>
      <w:tr>
        <w:tblPrEx>
          <w:tblCellMar>
            <w:top w:w="0" w:type="dxa"/>
            <w:left w:w="0" w:type="dxa"/>
            <w:bottom w:w="0" w:type="dxa"/>
            <w:right w:w="0" w:type="dxa"/>
          </w:tblCellMar>
        </w:tblPrEx>
        <w:trPr>
          <w:trHeight w:val="457" w:hRule="atLeast"/>
        </w:trPr>
        <w:tc>
          <w:tcPr>
            <w:tcW w:w="9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效益指标</w:t>
            </w:r>
          </w:p>
        </w:tc>
        <w:tc>
          <w:tcPr>
            <w:tcW w:w="13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社会效益指标</w:t>
            </w:r>
          </w:p>
        </w:tc>
        <w:tc>
          <w:tcPr>
            <w:tcW w:w="221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积极带动党员教育，利于民族团结</w:t>
            </w:r>
          </w:p>
        </w:tc>
        <w:tc>
          <w:tcPr>
            <w:tcW w:w="90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定性</w:t>
            </w:r>
          </w:p>
        </w:tc>
        <w:tc>
          <w:tcPr>
            <w:tcW w:w="94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等线" w:hAnsi="等线" w:eastAsia="等线" w:cs="等线"/>
                <w:i w:val="0"/>
                <w:color w:val="000000"/>
                <w:sz w:val="18"/>
                <w:szCs w:val="18"/>
                <w:u w:val="none"/>
              </w:rPr>
            </w:pPr>
          </w:p>
        </w:tc>
        <w:tc>
          <w:tcPr>
            <w:tcW w:w="7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优良中低差</w:t>
            </w:r>
          </w:p>
        </w:tc>
        <w:tc>
          <w:tcPr>
            <w:tcW w:w="5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等线" w:hAnsi="等线" w:eastAsia="等线" w:cs="等线"/>
                <w:i w:val="0"/>
                <w:color w:val="000000"/>
                <w:sz w:val="18"/>
                <w:szCs w:val="18"/>
                <w:u w:val="none"/>
              </w:rPr>
            </w:pPr>
          </w:p>
        </w:tc>
        <w:tc>
          <w:tcPr>
            <w:tcW w:w="6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9</w:t>
            </w:r>
          </w:p>
        </w:tc>
      </w:tr>
      <w:tr>
        <w:tblPrEx>
          <w:tblCellMar>
            <w:top w:w="0" w:type="dxa"/>
            <w:left w:w="0" w:type="dxa"/>
            <w:bottom w:w="0" w:type="dxa"/>
            <w:right w:w="0" w:type="dxa"/>
          </w:tblCellMar>
        </w:tblPrEx>
        <w:trPr>
          <w:trHeight w:val="457" w:hRule="atLeast"/>
        </w:trPr>
        <w:tc>
          <w:tcPr>
            <w:tcW w:w="9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效益指标</w:t>
            </w:r>
          </w:p>
        </w:tc>
        <w:tc>
          <w:tcPr>
            <w:tcW w:w="13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经济效益指标</w:t>
            </w:r>
          </w:p>
        </w:tc>
        <w:tc>
          <w:tcPr>
            <w:tcW w:w="221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增强党组织建设凝聚力</w:t>
            </w:r>
          </w:p>
        </w:tc>
        <w:tc>
          <w:tcPr>
            <w:tcW w:w="90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定性</w:t>
            </w:r>
          </w:p>
        </w:tc>
        <w:tc>
          <w:tcPr>
            <w:tcW w:w="94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等线" w:hAnsi="等线" w:eastAsia="等线" w:cs="等线"/>
                <w:i w:val="0"/>
                <w:color w:val="000000"/>
                <w:sz w:val="18"/>
                <w:szCs w:val="18"/>
                <w:u w:val="none"/>
              </w:rPr>
            </w:pPr>
          </w:p>
        </w:tc>
        <w:tc>
          <w:tcPr>
            <w:tcW w:w="7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优良中低差</w:t>
            </w:r>
          </w:p>
        </w:tc>
        <w:tc>
          <w:tcPr>
            <w:tcW w:w="5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等线" w:hAnsi="等线" w:eastAsia="等线" w:cs="等线"/>
                <w:i w:val="0"/>
                <w:color w:val="000000"/>
                <w:sz w:val="18"/>
                <w:szCs w:val="18"/>
                <w:u w:val="none"/>
              </w:rPr>
            </w:pPr>
          </w:p>
        </w:tc>
        <w:tc>
          <w:tcPr>
            <w:tcW w:w="6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9</w:t>
            </w:r>
          </w:p>
        </w:tc>
      </w:tr>
      <w:tr>
        <w:tblPrEx>
          <w:tblCellMar>
            <w:top w:w="0" w:type="dxa"/>
            <w:left w:w="0" w:type="dxa"/>
            <w:bottom w:w="0" w:type="dxa"/>
            <w:right w:w="0" w:type="dxa"/>
          </w:tblCellMar>
        </w:tblPrEx>
        <w:trPr>
          <w:trHeight w:val="457" w:hRule="atLeast"/>
        </w:trPr>
        <w:tc>
          <w:tcPr>
            <w:tcW w:w="9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效益指标</w:t>
            </w:r>
          </w:p>
        </w:tc>
        <w:tc>
          <w:tcPr>
            <w:tcW w:w="13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可持续影响指标</w:t>
            </w:r>
          </w:p>
        </w:tc>
        <w:tc>
          <w:tcPr>
            <w:tcW w:w="221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稳步提高党组织战斗堡垒</w:t>
            </w:r>
          </w:p>
        </w:tc>
        <w:tc>
          <w:tcPr>
            <w:tcW w:w="90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定性</w:t>
            </w:r>
          </w:p>
        </w:tc>
        <w:tc>
          <w:tcPr>
            <w:tcW w:w="94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等线" w:hAnsi="等线" w:eastAsia="等线" w:cs="等线"/>
                <w:i w:val="0"/>
                <w:color w:val="000000"/>
                <w:sz w:val="18"/>
                <w:szCs w:val="18"/>
                <w:u w:val="none"/>
              </w:rPr>
            </w:pPr>
          </w:p>
        </w:tc>
        <w:tc>
          <w:tcPr>
            <w:tcW w:w="7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优良中低差</w:t>
            </w:r>
          </w:p>
        </w:tc>
        <w:tc>
          <w:tcPr>
            <w:tcW w:w="5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等线" w:hAnsi="等线" w:eastAsia="等线" w:cs="等线"/>
                <w:i w:val="0"/>
                <w:color w:val="000000"/>
                <w:sz w:val="18"/>
                <w:szCs w:val="18"/>
                <w:u w:val="none"/>
              </w:rPr>
            </w:pPr>
          </w:p>
        </w:tc>
        <w:tc>
          <w:tcPr>
            <w:tcW w:w="6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9</w:t>
            </w:r>
          </w:p>
        </w:tc>
      </w:tr>
      <w:tr>
        <w:tblPrEx>
          <w:tblCellMar>
            <w:top w:w="0" w:type="dxa"/>
            <w:left w:w="0" w:type="dxa"/>
            <w:bottom w:w="0" w:type="dxa"/>
            <w:right w:w="0" w:type="dxa"/>
          </w:tblCellMar>
        </w:tblPrEx>
        <w:trPr>
          <w:trHeight w:val="464" w:hRule="atLeast"/>
        </w:trPr>
        <w:tc>
          <w:tcPr>
            <w:tcW w:w="9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满意度指标</w:t>
            </w:r>
          </w:p>
        </w:tc>
        <w:tc>
          <w:tcPr>
            <w:tcW w:w="13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服务对象满意度指标</w:t>
            </w:r>
          </w:p>
        </w:tc>
        <w:tc>
          <w:tcPr>
            <w:tcW w:w="221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满意</w:t>
            </w:r>
          </w:p>
        </w:tc>
        <w:tc>
          <w:tcPr>
            <w:tcW w:w="90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w:t>
            </w:r>
          </w:p>
        </w:tc>
        <w:tc>
          <w:tcPr>
            <w:tcW w:w="94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等线" w:hAnsi="等线" w:eastAsia="等线" w:cs="等线"/>
                <w:i w:val="0"/>
                <w:color w:val="000000"/>
                <w:sz w:val="18"/>
                <w:szCs w:val="18"/>
                <w:u w:val="none"/>
              </w:rPr>
            </w:pPr>
          </w:p>
        </w:tc>
        <w:tc>
          <w:tcPr>
            <w:tcW w:w="7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95</w:t>
            </w:r>
          </w:p>
        </w:tc>
        <w:tc>
          <w:tcPr>
            <w:tcW w:w="5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w:t>
            </w:r>
          </w:p>
        </w:tc>
        <w:tc>
          <w:tcPr>
            <w:tcW w:w="6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lang w:val="en-US" w:eastAsia="zh-CN" w:bidi="ar"/>
              </w:rPr>
              <w:t>9</w:t>
            </w:r>
          </w:p>
        </w:tc>
      </w:tr>
    </w:tbl>
    <w:p>
      <w:pPr>
        <w:spacing w:line="588" w:lineRule="exact"/>
        <w:ind w:firstLine="640" w:firstLineChars="200"/>
        <w:rPr>
          <w:rFonts w:hint="eastAsia" w:ascii="仿宋" w:hAnsi="仿宋" w:eastAsia="仿宋"/>
          <w:sz w:val="32"/>
          <w:szCs w:val="32"/>
          <w:highlight w:val="none"/>
          <w:lang w:val="en-US" w:eastAsia="zh-CN"/>
        </w:rPr>
      </w:pPr>
    </w:p>
    <w:tbl>
      <w:tblPr>
        <w:tblW w:w="8336" w:type="dxa"/>
        <w:tblInd w:w="0" w:type="dxa"/>
        <w:shd w:val="clear"/>
        <w:tblLayout w:type="fixed"/>
        <w:tblCellMar>
          <w:top w:w="0" w:type="dxa"/>
          <w:left w:w="0" w:type="dxa"/>
          <w:bottom w:w="0" w:type="dxa"/>
          <w:right w:w="0" w:type="dxa"/>
        </w:tblCellMar>
      </w:tblPr>
      <w:tblGrid>
        <w:gridCol w:w="35"/>
        <w:gridCol w:w="952"/>
        <w:gridCol w:w="1556"/>
        <w:gridCol w:w="3082"/>
        <w:gridCol w:w="905"/>
        <w:gridCol w:w="629"/>
        <w:gridCol w:w="567"/>
        <w:gridCol w:w="610"/>
      </w:tblGrid>
      <w:tr>
        <w:tblPrEx>
          <w:shd w:val="clear"/>
          <w:tblCellMar>
            <w:top w:w="0" w:type="dxa"/>
            <w:left w:w="0" w:type="dxa"/>
            <w:bottom w:w="0" w:type="dxa"/>
            <w:right w:w="0" w:type="dxa"/>
          </w:tblCellMar>
        </w:tblPrEx>
        <w:trPr>
          <w:trHeight w:val="667" w:hRule="atLeast"/>
        </w:trPr>
        <w:tc>
          <w:tcPr>
            <w:tcW w:w="240" w:type="dxa"/>
            <w:vMerge w:val="restart"/>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widowControl/>
              <w:suppressLineNumbers w:val="0"/>
              <w:jc w:val="center"/>
              <w:textAlignment w:val="center"/>
              <w:rPr>
                <w:rFonts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14个高海拔村庄健康供氧及供暖项目</w:t>
            </w:r>
          </w:p>
        </w:tc>
        <w:tc>
          <w:tcPr>
            <w:tcW w:w="953"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产出指标</w:t>
            </w:r>
          </w:p>
        </w:tc>
        <w:tc>
          <w:tcPr>
            <w:tcW w:w="1486"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数量指标</w:t>
            </w:r>
          </w:p>
        </w:tc>
        <w:tc>
          <w:tcPr>
            <w:tcW w:w="2942"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项目供应高海拔村庄</w:t>
            </w:r>
          </w:p>
        </w:tc>
        <w:tc>
          <w:tcPr>
            <w:tcW w:w="906"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w:t>
            </w:r>
          </w:p>
        </w:tc>
        <w:tc>
          <w:tcPr>
            <w:tcW w:w="630"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14</w:t>
            </w:r>
          </w:p>
        </w:tc>
        <w:tc>
          <w:tcPr>
            <w:tcW w:w="56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个</w:t>
            </w:r>
          </w:p>
        </w:tc>
        <w:tc>
          <w:tcPr>
            <w:tcW w:w="611"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10</w:t>
            </w:r>
          </w:p>
        </w:tc>
      </w:tr>
      <w:tr>
        <w:tblPrEx>
          <w:tblCellMar>
            <w:top w:w="0" w:type="dxa"/>
            <w:left w:w="0" w:type="dxa"/>
            <w:bottom w:w="0" w:type="dxa"/>
            <w:right w:w="0" w:type="dxa"/>
          </w:tblCellMar>
        </w:tblPrEx>
        <w:trPr>
          <w:trHeight w:val="667" w:hRule="atLeast"/>
        </w:trPr>
        <w:tc>
          <w:tcPr>
            <w:tcW w:w="240"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jc w:val="center"/>
              <w:rPr>
                <w:rFonts w:hint="default" w:ascii="等线" w:hAnsi="等线" w:eastAsia="等线" w:cs="等线"/>
                <w:i w:val="0"/>
                <w:color w:val="000000"/>
                <w:sz w:val="18"/>
                <w:szCs w:val="18"/>
                <w:u w:val="none"/>
              </w:rPr>
            </w:pPr>
          </w:p>
        </w:tc>
        <w:tc>
          <w:tcPr>
            <w:tcW w:w="953"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产出指标</w:t>
            </w:r>
          </w:p>
        </w:tc>
        <w:tc>
          <w:tcPr>
            <w:tcW w:w="155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数量指标</w:t>
            </w:r>
          </w:p>
        </w:tc>
        <w:tc>
          <w:tcPr>
            <w:tcW w:w="3087"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供暖项目所需经费</w:t>
            </w:r>
          </w:p>
        </w:tc>
        <w:tc>
          <w:tcPr>
            <w:tcW w:w="856"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w:t>
            </w:r>
          </w:p>
        </w:tc>
        <w:tc>
          <w:tcPr>
            <w:tcW w:w="597"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180000</w:t>
            </w:r>
          </w:p>
        </w:tc>
        <w:tc>
          <w:tcPr>
            <w:tcW w:w="539"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元</w:t>
            </w:r>
          </w:p>
        </w:tc>
        <w:tc>
          <w:tcPr>
            <w:tcW w:w="57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10</w:t>
            </w:r>
          </w:p>
        </w:tc>
      </w:tr>
      <w:tr>
        <w:tblPrEx>
          <w:tblCellMar>
            <w:top w:w="0" w:type="dxa"/>
            <w:left w:w="0" w:type="dxa"/>
            <w:bottom w:w="0" w:type="dxa"/>
            <w:right w:w="0" w:type="dxa"/>
          </w:tblCellMar>
        </w:tblPrEx>
        <w:trPr>
          <w:trHeight w:val="667" w:hRule="atLeast"/>
        </w:trPr>
        <w:tc>
          <w:tcPr>
            <w:tcW w:w="240"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jc w:val="center"/>
              <w:rPr>
                <w:rFonts w:hint="default" w:ascii="等线" w:hAnsi="等线" w:eastAsia="等线" w:cs="等线"/>
                <w:i w:val="0"/>
                <w:color w:val="000000"/>
                <w:sz w:val="18"/>
                <w:szCs w:val="18"/>
                <w:u w:val="none"/>
              </w:rPr>
            </w:pPr>
          </w:p>
        </w:tc>
        <w:tc>
          <w:tcPr>
            <w:tcW w:w="953"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产出指标</w:t>
            </w:r>
          </w:p>
        </w:tc>
        <w:tc>
          <w:tcPr>
            <w:tcW w:w="155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数量指标</w:t>
            </w:r>
          </w:p>
        </w:tc>
        <w:tc>
          <w:tcPr>
            <w:tcW w:w="3087"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供氧项目所需经费</w:t>
            </w:r>
          </w:p>
        </w:tc>
        <w:tc>
          <w:tcPr>
            <w:tcW w:w="856"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w:t>
            </w:r>
          </w:p>
        </w:tc>
        <w:tc>
          <w:tcPr>
            <w:tcW w:w="597"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500000</w:t>
            </w:r>
          </w:p>
        </w:tc>
        <w:tc>
          <w:tcPr>
            <w:tcW w:w="539"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元</w:t>
            </w:r>
          </w:p>
        </w:tc>
        <w:tc>
          <w:tcPr>
            <w:tcW w:w="57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10</w:t>
            </w:r>
          </w:p>
        </w:tc>
      </w:tr>
      <w:tr>
        <w:tblPrEx>
          <w:tblCellMar>
            <w:top w:w="0" w:type="dxa"/>
            <w:left w:w="0" w:type="dxa"/>
            <w:bottom w:w="0" w:type="dxa"/>
            <w:right w:w="0" w:type="dxa"/>
          </w:tblCellMar>
        </w:tblPrEx>
        <w:trPr>
          <w:trHeight w:val="667" w:hRule="atLeast"/>
        </w:trPr>
        <w:tc>
          <w:tcPr>
            <w:tcW w:w="240"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jc w:val="center"/>
              <w:rPr>
                <w:rFonts w:hint="default" w:ascii="等线" w:hAnsi="等线" w:eastAsia="等线" w:cs="等线"/>
                <w:i w:val="0"/>
                <w:color w:val="000000"/>
                <w:sz w:val="18"/>
                <w:szCs w:val="18"/>
                <w:u w:val="none"/>
              </w:rPr>
            </w:pPr>
          </w:p>
        </w:tc>
        <w:tc>
          <w:tcPr>
            <w:tcW w:w="953"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产出指标</w:t>
            </w:r>
          </w:p>
        </w:tc>
        <w:tc>
          <w:tcPr>
            <w:tcW w:w="155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数量指标</w:t>
            </w:r>
          </w:p>
        </w:tc>
        <w:tc>
          <w:tcPr>
            <w:tcW w:w="3087"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建设面积</w:t>
            </w:r>
          </w:p>
        </w:tc>
        <w:tc>
          <w:tcPr>
            <w:tcW w:w="856"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w:t>
            </w:r>
          </w:p>
        </w:tc>
        <w:tc>
          <w:tcPr>
            <w:tcW w:w="597"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454.1</w:t>
            </w:r>
          </w:p>
        </w:tc>
        <w:tc>
          <w:tcPr>
            <w:tcW w:w="539"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平方米</w:t>
            </w:r>
          </w:p>
        </w:tc>
        <w:tc>
          <w:tcPr>
            <w:tcW w:w="57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10</w:t>
            </w:r>
          </w:p>
        </w:tc>
      </w:tr>
      <w:tr>
        <w:tblPrEx>
          <w:tblCellMar>
            <w:top w:w="0" w:type="dxa"/>
            <w:left w:w="0" w:type="dxa"/>
            <w:bottom w:w="0" w:type="dxa"/>
            <w:right w:w="0" w:type="dxa"/>
          </w:tblCellMar>
        </w:tblPrEx>
        <w:trPr>
          <w:trHeight w:val="667" w:hRule="atLeast"/>
        </w:trPr>
        <w:tc>
          <w:tcPr>
            <w:tcW w:w="240"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jc w:val="center"/>
              <w:rPr>
                <w:rFonts w:hint="default" w:ascii="等线" w:hAnsi="等线" w:eastAsia="等线" w:cs="等线"/>
                <w:i w:val="0"/>
                <w:color w:val="000000"/>
                <w:sz w:val="18"/>
                <w:szCs w:val="18"/>
                <w:u w:val="none"/>
              </w:rPr>
            </w:pPr>
          </w:p>
        </w:tc>
        <w:tc>
          <w:tcPr>
            <w:tcW w:w="953"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产出指标</w:t>
            </w:r>
          </w:p>
        </w:tc>
        <w:tc>
          <w:tcPr>
            <w:tcW w:w="155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质量指标</w:t>
            </w:r>
          </w:p>
        </w:tc>
        <w:tc>
          <w:tcPr>
            <w:tcW w:w="3087"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建成项目质量保证期</w:t>
            </w:r>
          </w:p>
        </w:tc>
        <w:tc>
          <w:tcPr>
            <w:tcW w:w="856"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w:t>
            </w:r>
          </w:p>
        </w:tc>
        <w:tc>
          <w:tcPr>
            <w:tcW w:w="597"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w:t>
            </w:r>
          </w:p>
        </w:tc>
        <w:tc>
          <w:tcPr>
            <w:tcW w:w="539"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年</w:t>
            </w:r>
          </w:p>
        </w:tc>
        <w:tc>
          <w:tcPr>
            <w:tcW w:w="57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5</w:t>
            </w:r>
          </w:p>
        </w:tc>
      </w:tr>
      <w:tr>
        <w:tblPrEx>
          <w:tblCellMar>
            <w:top w:w="0" w:type="dxa"/>
            <w:left w:w="0" w:type="dxa"/>
            <w:bottom w:w="0" w:type="dxa"/>
            <w:right w:w="0" w:type="dxa"/>
          </w:tblCellMar>
        </w:tblPrEx>
        <w:trPr>
          <w:trHeight w:val="667" w:hRule="atLeast"/>
        </w:trPr>
        <w:tc>
          <w:tcPr>
            <w:tcW w:w="240"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jc w:val="center"/>
              <w:rPr>
                <w:rFonts w:hint="default" w:ascii="等线" w:hAnsi="等线" w:eastAsia="等线" w:cs="等线"/>
                <w:i w:val="0"/>
                <w:color w:val="000000"/>
                <w:sz w:val="18"/>
                <w:szCs w:val="18"/>
                <w:u w:val="none"/>
              </w:rPr>
            </w:pPr>
          </w:p>
        </w:tc>
        <w:tc>
          <w:tcPr>
            <w:tcW w:w="953"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产出指标</w:t>
            </w:r>
          </w:p>
        </w:tc>
        <w:tc>
          <w:tcPr>
            <w:tcW w:w="155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时效指标</w:t>
            </w:r>
          </w:p>
        </w:tc>
        <w:tc>
          <w:tcPr>
            <w:tcW w:w="3087"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项目建设周期</w:t>
            </w:r>
          </w:p>
        </w:tc>
        <w:tc>
          <w:tcPr>
            <w:tcW w:w="856"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w:t>
            </w:r>
          </w:p>
        </w:tc>
        <w:tc>
          <w:tcPr>
            <w:tcW w:w="597"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2</w:t>
            </w:r>
          </w:p>
        </w:tc>
        <w:tc>
          <w:tcPr>
            <w:tcW w:w="539"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年</w:t>
            </w:r>
          </w:p>
        </w:tc>
        <w:tc>
          <w:tcPr>
            <w:tcW w:w="57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5</w:t>
            </w:r>
          </w:p>
        </w:tc>
      </w:tr>
      <w:tr>
        <w:tblPrEx>
          <w:tblCellMar>
            <w:top w:w="0" w:type="dxa"/>
            <w:left w:w="0" w:type="dxa"/>
            <w:bottom w:w="0" w:type="dxa"/>
            <w:right w:w="0" w:type="dxa"/>
          </w:tblCellMar>
        </w:tblPrEx>
        <w:trPr>
          <w:trHeight w:val="667" w:hRule="atLeast"/>
        </w:trPr>
        <w:tc>
          <w:tcPr>
            <w:tcW w:w="240"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jc w:val="center"/>
              <w:rPr>
                <w:rFonts w:hint="default" w:ascii="等线" w:hAnsi="等线" w:eastAsia="等线" w:cs="等线"/>
                <w:i w:val="0"/>
                <w:color w:val="000000"/>
                <w:sz w:val="18"/>
                <w:szCs w:val="18"/>
                <w:u w:val="none"/>
              </w:rPr>
            </w:pPr>
          </w:p>
        </w:tc>
        <w:tc>
          <w:tcPr>
            <w:tcW w:w="953"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效益指标</w:t>
            </w:r>
          </w:p>
        </w:tc>
        <w:tc>
          <w:tcPr>
            <w:tcW w:w="155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可持续影响指标</w:t>
            </w:r>
          </w:p>
        </w:tc>
        <w:tc>
          <w:tcPr>
            <w:tcW w:w="3087"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尽量减缓在高海拔村庄生活人员患病率</w:t>
            </w:r>
          </w:p>
        </w:tc>
        <w:tc>
          <w:tcPr>
            <w:tcW w:w="856"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w:t>
            </w:r>
          </w:p>
        </w:tc>
        <w:tc>
          <w:tcPr>
            <w:tcW w:w="597"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20</w:t>
            </w:r>
          </w:p>
        </w:tc>
        <w:tc>
          <w:tcPr>
            <w:tcW w:w="539"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w:t>
            </w:r>
          </w:p>
        </w:tc>
        <w:tc>
          <w:tcPr>
            <w:tcW w:w="57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10</w:t>
            </w:r>
          </w:p>
        </w:tc>
      </w:tr>
      <w:tr>
        <w:tblPrEx>
          <w:tblCellMar>
            <w:top w:w="0" w:type="dxa"/>
            <w:left w:w="0" w:type="dxa"/>
            <w:bottom w:w="0" w:type="dxa"/>
            <w:right w:w="0" w:type="dxa"/>
          </w:tblCellMar>
        </w:tblPrEx>
        <w:trPr>
          <w:trHeight w:val="667" w:hRule="atLeast"/>
        </w:trPr>
        <w:tc>
          <w:tcPr>
            <w:tcW w:w="240"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jc w:val="center"/>
              <w:rPr>
                <w:rFonts w:hint="default" w:ascii="等线" w:hAnsi="等线" w:eastAsia="等线" w:cs="等线"/>
                <w:i w:val="0"/>
                <w:color w:val="000000"/>
                <w:sz w:val="18"/>
                <w:szCs w:val="18"/>
                <w:u w:val="none"/>
              </w:rPr>
            </w:pPr>
          </w:p>
        </w:tc>
        <w:tc>
          <w:tcPr>
            <w:tcW w:w="953"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效益指标</w:t>
            </w:r>
          </w:p>
        </w:tc>
        <w:tc>
          <w:tcPr>
            <w:tcW w:w="155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可持续影响指标</w:t>
            </w:r>
          </w:p>
        </w:tc>
        <w:tc>
          <w:tcPr>
            <w:tcW w:w="3087"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尽量缓解在高海拔村庄患慢性病人员病情</w:t>
            </w:r>
          </w:p>
        </w:tc>
        <w:tc>
          <w:tcPr>
            <w:tcW w:w="856"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w:t>
            </w:r>
          </w:p>
        </w:tc>
        <w:tc>
          <w:tcPr>
            <w:tcW w:w="597"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390</w:t>
            </w:r>
          </w:p>
        </w:tc>
        <w:tc>
          <w:tcPr>
            <w:tcW w:w="539"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人</w:t>
            </w:r>
          </w:p>
        </w:tc>
        <w:tc>
          <w:tcPr>
            <w:tcW w:w="57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10</w:t>
            </w:r>
          </w:p>
        </w:tc>
      </w:tr>
      <w:tr>
        <w:tblPrEx>
          <w:tblCellMar>
            <w:top w:w="0" w:type="dxa"/>
            <w:left w:w="0" w:type="dxa"/>
            <w:bottom w:w="0" w:type="dxa"/>
            <w:right w:w="0" w:type="dxa"/>
          </w:tblCellMar>
        </w:tblPrEx>
        <w:trPr>
          <w:trHeight w:val="667" w:hRule="atLeast"/>
        </w:trPr>
        <w:tc>
          <w:tcPr>
            <w:tcW w:w="240"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jc w:val="center"/>
              <w:rPr>
                <w:rFonts w:hint="default" w:ascii="等线" w:hAnsi="等线" w:eastAsia="等线" w:cs="等线"/>
                <w:i w:val="0"/>
                <w:color w:val="000000"/>
                <w:sz w:val="18"/>
                <w:szCs w:val="18"/>
                <w:u w:val="none"/>
              </w:rPr>
            </w:pPr>
          </w:p>
        </w:tc>
        <w:tc>
          <w:tcPr>
            <w:tcW w:w="953"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满意度指标</w:t>
            </w:r>
          </w:p>
        </w:tc>
        <w:tc>
          <w:tcPr>
            <w:tcW w:w="155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服务对象满意度指标</w:t>
            </w:r>
          </w:p>
        </w:tc>
        <w:tc>
          <w:tcPr>
            <w:tcW w:w="3087"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14个高海拔村庄村民</w:t>
            </w:r>
          </w:p>
        </w:tc>
        <w:tc>
          <w:tcPr>
            <w:tcW w:w="856"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w:t>
            </w:r>
          </w:p>
        </w:tc>
        <w:tc>
          <w:tcPr>
            <w:tcW w:w="597"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90</w:t>
            </w:r>
          </w:p>
        </w:tc>
        <w:tc>
          <w:tcPr>
            <w:tcW w:w="539"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w:t>
            </w:r>
          </w:p>
        </w:tc>
        <w:tc>
          <w:tcPr>
            <w:tcW w:w="57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10</w:t>
            </w:r>
          </w:p>
        </w:tc>
      </w:tr>
      <w:tr>
        <w:tblPrEx>
          <w:tblCellMar>
            <w:top w:w="0" w:type="dxa"/>
            <w:left w:w="0" w:type="dxa"/>
            <w:bottom w:w="0" w:type="dxa"/>
            <w:right w:w="0" w:type="dxa"/>
          </w:tblCellMar>
        </w:tblPrEx>
        <w:trPr>
          <w:trHeight w:val="1746" w:hRule="atLeast"/>
        </w:trPr>
        <w:tc>
          <w:tcPr>
            <w:tcW w:w="240"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jc w:val="center"/>
              <w:rPr>
                <w:rFonts w:hint="default" w:ascii="等线" w:hAnsi="等线" w:eastAsia="等线" w:cs="等线"/>
                <w:i w:val="0"/>
                <w:color w:val="000000"/>
                <w:sz w:val="18"/>
                <w:szCs w:val="18"/>
                <w:u w:val="none"/>
              </w:rPr>
            </w:pPr>
          </w:p>
        </w:tc>
        <w:tc>
          <w:tcPr>
            <w:tcW w:w="953"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成本指标</w:t>
            </w:r>
          </w:p>
        </w:tc>
        <w:tc>
          <w:tcPr>
            <w:tcW w:w="155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经济成本指标</w:t>
            </w:r>
          </w:p>
        </w:tc>
        <w:tc>
          <w:tcPr>
            <w:tcW w:w="3087"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供暖供氧项目所需经费</w:t>
            </w:r>
          </w:p>
        </w:tc>
        <w:tc>
          <w:tcPr>
            <w:tcW w:w="856"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w:t>
            </w:r>
          </w:p>
        </w:tc>
        <w:tc>
          <w:tcPr>
            <w:tcW w:w="597"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680000</w:t>
            </w:r>
          </w:p>
        </w:tc>
        <w:tc>
          <w:tcPr>
            <w:tcW w:w="539"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元</w:t>
            </w:r>
          </w:p>
        </w:tc>
        <w:tc>
          <w:tcPr>
            <w:tcW w:w="57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10</w:t>
            </w:r>
          </w:p>
        </w:tc>
      </w:tr>
    </w:tbl>
    <w:p>
      <w:pPr>
        <w:spacing w:line="588" w:lineRule="exact"/>
        <w:rPr>
          <w:rFonts w:hint="eastAsia" w:ascii="仿宋" w:hAnsi="仿宋" w:eastAsia="仿宋"/>
          <w:sz w:val="32"/>
          <w:szCs w:val="32"/>
          <w:highlight w:val="none"/>
          <w:lang w:val="en-US" w:eastAsia="zh-CN"/>
        </w:rPr>
      </w:pPr>
    </w:p>
    <w:tbl>
      <w:tblPr>
        <w:tblW w:w="8336" w:type="dxa"/>
        <w:tblInd w:w="0" w:type="dxa"/>
        <w:shd w:val="clear"/>
        <w:tblLayout w:type="fixed"/>
        <w:tblCellMar>
          <w:top w:w="0" w:type="dxa"/>
          <w:left w:w="0" w:type="dxa"/>
          <w:bottom w:w="0" w:type="dxa"/>
          <w:right w:w="0" w:type="dxa"/>
        </w:tblCellMar>
      </w:tblPr>
      <w:tblGrid>
        <w:gridCol w:w="150"/>
        <w:gridCol w:w="581"/>
        <w:gridCol w:w="1622"/>
        <w:gridCol w:w="2860"/>
        <w:gridCol w:w="1042"/>
        <w:gridCol w:w="725"/>
        <w:gridCol w:w="654"/>
        <w:gridCol w:w="702"/>
      </w:tblGrid>
      <w:tr>
        <w:tblPrEx>
          <w:shd w:val="clear"/>
          <w:tblCellMar>
            <w:top w:w="0" w:type="dxa"/>
            <w:left w:w="0" w:type="dxa"/>
            <w:bottom w:w="0" w:type="dxa"/>
            <w:right w:w="0" w:type="dxa"/>
          </w:tblCellMar>
        </w:tblPrEx>
        <w:trPr>
          <w:trHeight w:val="653" w:hRule="atLeast"/>
        </w:trPr>
        <w:tc>
          <w:tcPr>
            <w:tcW w:w="733" w:type="dxa"/>
            <w:vMerge w:val="restart"/>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widowControl/>
              <w:suppressLineNumbers w:val="0"/>
              <w:jc w:val="center"/>
              <w:textAlignment w:val="center"/>
              <w:rPr>
                <w:rFonts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白朗村公房建设和内部装修及设备购买</w:t>
            </w:r>
          </w:p>
        </w:tc>
        <w:tc>
          <w:tcPr>
            <w:tcW w:w="581"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产出指标</w:t>
            </w:r>
          </w:p>
        </w:tc>
        <w:tc>
          <w:tcPr>
            <w:tcW w:w="1412"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数量指标</w:t>
            </w:r>
          </w:p>
        </w:tc>
        <w:tc>
          <w:tcPr>
            <w:tcW w:w="2487"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采购所需费用</w:t>
            </w:r>
          </w:p>
        </w:tc>
        <w:tc>
          <w:tcPr>
            <w:tcW w:w="1042"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w:t>
            </w:r>
          </w:p>
        </w:tc>
        <w:tc>
          <w:tcPr>
            <w:tcW w:w="725"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1256000</w:t>
            </w:r>
          </w:p>
        </w:tc>
        <w:tc>
          <w:tcPr>
            <w:tcW w:w="654"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元</w:t>
            </w:r>
          </w:p>
        </w:tc>
        <w:tc>
          <w:tcPr>
            <w:tcW w:w="702"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10</w:t>
            </w:r>
          </w:p>
        </w:tc>
      </w:tr>
      <w:tr>
        <w:tblPrEx>
          <w:tblCellMar>
            <w:top w:w="0" w:type="dxa"/>
            <w:left w:w="0" w:type="dxa"/>
            <w:bottom w:w="0" w:type="dxa"/>
            <w:right w:w="0" w:type="dxa"/>
          </w:tblCellMar>
        </w:tblPrEx>
        <w:trPr>
          <w:trHeight w:val="653" w:hRule="atLeast"/>
        </w:trPr>
        <w:tc>
          <w:tcPr>
            <w:tcW w:w="733"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jc w:val="center"/>
              <w:rPr>
                <w:rFonts w:hint="default" w:ascii="等线" w:hAnsi="等线" w:eastAsia="等线" w:cs="等线"/>
                <w:i w:val="0"/>
                <w:color w:val="000000"/>
                <w:sz w:val="18"/>
                <w:szCs w:val="18"/>
                <w:u w:val="none"/>
              </w:rPr>
            </w:pPr>
          </w:p>
        </w:tc>
        <w:tc>
          <w:tcPr>
            <w:tcW w:w="581"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产出指标</w:t>
            </w:r>
          </w:p>
        </w:tc>
        <w:tc>
          <w:tcPr>
            <w:tcW w:w="1622"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时效指标</w:t>
            </w:r>
          </w:p>
        </w:tc>
        <w:tc>
          <w:tcPr>
            <w:tcW w:w="2860"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项目建设年限</w:t>
            </w:r>
          </w:p>
        </w:tc>
        <w:tc>
          <w:tcPr>
            <w:tcW w:w="1024"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w:t>
            </w:r>
          </w:p>
        </w:tc>
        <w:tc>
          <w:tcPr>
            <w:tcW w:w="719"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2</w:t>
            </w:r>
          </w:p>
        </w:tc>
        <w:tc>
          <w:tcPr>
            <w:tcW w:w="643"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年</w:t>
            </w:r>
          </w:p>
        </w:tc>
        <w:tc>
          <w:tcPr>
            <w:tcW w:w="690"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5</w:t>
            </w:r>
          </w:p>
        </w:tc>
      </w:tr>
      <w:tr>
        <w:tblPrEx>
          <w:tblCellMar>
            <w:top w:w="0" w:type="dxa"/>
            <w:left w:w="0" w:type="dxa"/>
            <w:bottom w:w="0" w:type="dxa"/>
            <w:right w:w="0" w:type="dxa"/>
          </w:tblCellMar>
        </w:tblPrEx>
        <w:trPr>
          <w:trHeight w:val="653" w:hRule="atLeast"/>
        </w:trPr>
        <w:tc>
          <w:tcPr>
            <w:tcW w:w="733"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jc w:val="center"/>
              <w:rPr>
                <w:rFonts w:hint="default" w:ascii="等线" w:hAnsi="等线" w:eastAsia="等线" w:cs="等线"/>
                <w:i w:val="0"/>
                <w:color w:val="000000"/>
                <w:sz w:val="18"/>
                <w:szCs w:val="18"/>
                <w:u w:val="none"/>
              </w:rPr>
            </w:pPr>
          </w:p>
        </w:tc>
        <w:tc>
          <w:tcPr>
            <w:tcW w:w="581"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产出指标</w:t>
            </w:r>
          </w:p>
        </w:tc>
        <w:tc>
          <w:tcPr>
            <w:tcW w:w="1622"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质量指标</w:t>
            </w:r>
          </w:p>
        </w:tc>
        <w:tc>
          <w:tcPr>
            <w:tcW w:w="2860"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所建设场所质量保证期</w:t>
            </w:r>
          </w:p>
        </w:tc>
        <w:tc>
          <w:tcPr>
            <w:tcW w:w="1024"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w:t>
            </w:r>
          </w:p>
        </w:tc>
        <w:tc>
          <w:tcPr>
            <w:tcW w:w="719"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w:t>
            </w:r>
          </w:p>
        </w:tc>
        <w:tc>
          <w:tcPr>
            <w:tcW w:w="643"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年</w:t>
            </w:r>
          </w:p>
        </w:tc>
        <w:tc>
          <w:tcPr>
            <w:tcW w:w="690"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5</w:t>
            </w:r>
          </w:p>
        </w:tc>
      </w:tr>
      <w:tr>
        <w:tblPrEx>
          <w:tblCellMar>
            <w:top w:w="0" w:type="dxa"/>
            <w:left w:w="0" w:type="dxa"/>
            <w:bottom w:w="0" w:type="dxa"/>
            <w:right w:w="0" w:type="dxa"/>
          </w:tblCellMar>
        </w:tblPrEx>
        <w:trPr>
          <w:trHeight w:val="653" w:hRule="atLeast"/>
        </w:trPr>
        <w:tc>
          <w:tcPr>
            <w:tcW w:w="733"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jc w:val="center"/>
              <w:rPr>
                <w:rFonts w:hint="default" w:ascii="等线" w:hAnsi="等线" w:eastAsia="等线" w:cs="等线"/>
                <w:i w:val="0"/>
                <w:color w:val="000000"/>
                <w:sz w:val="18"/>
                <w:szCs w:val="18"/>
                <w:u w:val="none"/>
              </w:rPr>
            </w:pPr>
          </w:p>
        </w:tc>
        <w:tc>
          <w:tcPr>
            <w:tcW w:w="581"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产出指标</w:t>
            </w:r>
          </w:p>
        </w:tc>
        <w:tc>
          <w:tcPr>
            <w:tcW w:w="1622"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数量指标</w:t>
            </w:r>
          </w:p>
        </w:tc>
        <w:tc>
          <w:tcPr>
            <w:tcW w:w="2860"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装修所需费用</w:t>
            </w:r>
          </w:p>
        </w:tc>
        <w:tc>
          <w:tcPr>
            <w:tcW w:w="1024"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w:t>
            </w:r>
          </w:p>
        </w:tc>
        <w:tc>
          <w:tcPr>
            <w:tcW w:w="719"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1256000</w:t>
            </w:r>
          </w:p>
        </w:tc>
        <w:tc>
          <w:tcPr>
            <w:tcW w:w="643"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元</w:t>
            </w:r>
          </w:p>
        </w:tc>
        <w:tc>
          <w:tcPr>
            <w:tcW w:w="690"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10</w:t>
            </w:r>
          </w:p>
        </w:tc>
      </w:tr>
      <w:tr>
        <w:tblPrEx>
          <w:tblCellMar>
            <w:top w:w="0" w:type="dxa"/>
            <w:left w:w="0" w:type="dxa"/>
            <w:bottom w:w="0" w:type="dxa"/>
            <w:right w:w="0" w:type="dxa"/>
          </w:tblCellMar>
        </w:tblPrEx>
        <w:trPr>
          <w:trHeight w:val="653" w:hRule="atLeast"/>
        </w:trPr>
        <w:tc>
          <w:tcPr>
            <w:tcW w:w="733"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jc w:val="center"/>
              <w:rPr>
                <w:rFonts w:hint="default" w:ascii="等线" w:hAnsi="等线" w:eastAsia="等线" w:cs="等线"/>
                <w:i w:val="0"/>
                <w:color w:val="000000"/>
                <w:sz w:val="18"/>
                <w:szCs w:val="18"/>
                <w:u w:val="none"/>
              </w:rPr>
            </w:pPr>
          </w:p>
        </w:tc>
        <w:tc>
          <w:tcPr>
            <w:tcW w:w="581"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产出指标</w:t>
            </w:r>
          </w:p>
        </w:tc>
        <w:tc>
          <w:tcPr>
            <w:tcW w:w="1622"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数量指标</w:t>
            </w:r>
          </w:p>
        </w:tc>
        <w:tc>
          <w:tcPr>
            <w:tcW w:w="2860"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村公房建设</w:t>
            </w:r>
          </w:p>
        </w:tc>
        <w:tc>
          <w:tcPr>
            <w:tcW w:w="1024"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w:t>
            </w:r>
          </w:p>
        </w:tc>
        <w:tc>
          <w:tcPr>
            <w:tcW w:w="719"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w:t>
            </w:r>
          </w:p>
        </w:tc>
        <w:tc>
          <w:tcPr>
            <w:tcW w:w="643"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个</w:t>
            </w:r>
          </w:p>
        </w:tc>
        <w:tc>
          <w:tcPr>
            <w:tcW w:w="690"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10</w:t>
            </w:r>
          </w:p>
        </w:tc>
      </w:tr>
      <w:tr>
        <w:tblPrEx>
          <w:tblCellMar>
            <w:top w:w="0" w:type="dxa"/>
            <w:left w:w="0" w:type="dxa"/>
            <w:bottom w:w="0" w:type="dxa"/>
            <w:right w:w="0" w:type="dxa"/>
          </w:tblCellMar>
        </w:tblPrEx>
        <w:trPr>
          <w:trHeight w:val="653" w:hRule="atLeast"/>
        </w:trPr>
        <w:tc>
          <w:tcPr>
            <w:tcW w:w="733"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jc w:val="center"/>
              <w:rPr>
                <w:rFonts w:hint="default" w:ascii="等线" w:hAnsi="等线" w:eastAsia="等线" w:cs="等线"/>
                <w:i w:val="0"/>
                <w:color w:val="000000"/>
                <w:sz w:val="18"/>
                <w:szCs w:val="18"/>
                <w:u w:val="none"/>
              </w:rPr>
            </w:pPr>
          </w:p>
        </w:tc>
        <w:tc>
          <w:tcPr>
            <w:tcW w:w="581"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产出指标</w:t>
            </w:r>
          </w:p>
        </w:tc>
        <w:tc>
          <w:tcPr>
            <w:tcW w:w="1622"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数量指标</w:t>
            </w:r>
          </w:p>
        </w:tc>
        <w:tc>
          <w:tcPr>
            <w:tcW w:w="2860"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建设所需费用</w:t>
            </w:r>
          </w:p>
        </w:tc>
        <w:tc>
          <w:tcPr>
            <w:tcW w:w="1024"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w:t>
            </w:r>
          </w:p>
        </w:tc>
        <w:tc>
          <w:tcPr>
            <w:tcW w:w="719"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1256000</w:t>
            </w:r>
          </w:p>
        </w:tc>
        <w:tc>
          <w:tcPr>
            <w:tcW w:w="643"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元</w:t>
            </w:r>
          </w:p>
        </w:tc>
        <w:tc>
          <w:tcPr>
            <w:tcW w:w="690"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10</w:t>
            </w:r>
          </w:p>
        </w:tc>
      </w:tr>
      <w:tr>
        <w:tblPrEx>
          <w:tblCellMar>
            <w:top w:w="0" w:type="dxa"/>
            <w:left w:w="0" w:type="dxa"/>
            <w:bottom w:w="0" w:type="dxa"/>
            <w:right w:w="0" w:type="dxa"/>
          </w:tblCellMar>
        </w:tblPrEx>
        <w:trPr>
          <w:trHeight w:val="653" w:hRule="atLeast"/>
        </w:trPr>
        <w:tc>
          <w:tcPr>
            <w:tcW w:w="733"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jc w:val="center"/>
              <w:rPr>
                <w:rFonts w:hint="default" w:ascii="等线" w:hAnsi="等线" w:eastAsia="等线" w:cs="等线"/>
                <w:i w:val="0"/>
                <w:color w:val="000000"/>
                <w:sz w:val="18"/>
                <w:szCs w:val="18"/>
                <w:u w:val="none"/>
              </w:rPr>
            </w:pPr>
          </w:p>
        </w:tc>
        <w:tc>
          <w:tcPr>
            <w:tcW w:w="581"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效益指标</w:t>
            </w:r>
          </w:p>
        </w:tc>
        <w:tc>
          <w:tcPr>
            <w:tcW w:w="1622"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可持续影响指标</w:t>
            </w:r>
          </w:p>
        </w:tc>
        <w:tc>
          <w:tcPr>
            <w:tcW w:w="2860"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保证村级组织正常运转</w:t>
            </w:r>
          </w:p>
        </w:tc>
        <w:tc>
          <w:tcPr>
            <w:tcW w:w="1024"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w:t>
            </w:r>
          </w:p>
        </w:tc>
        <w:tc>
          <w:tcPr>
            <w:tcW w:w="719"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3</w:t>
            </w:r>
          </w:p>
        </w:tc>
        <w:tc>
          <w:tcPr>
            <w:tcW w:w="643"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年</w:t>
            </w:r>
          </w:p>
        </w:tc>
        <w:tc>
          <w:tcPr>
            <w:tcW w:w="690"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10</w:t>
            </w:r>
          </w:p>
        </w:tc>
      </w:tr>
      <w:tr>
        <w:tblPrEx>
          <w:tblCellMar>
            <w:top w:w="0" w:type="dxa"/>
            <w:left w:w="0" w:type="dxa"/>
            <w:bottom w:w="0" w:type="dxa"/>
            <w:right w:w="0" w:type="dxa"/>
          </w:tblCellMar>
        </w:tblPrEx>
        <w:trPr>
          <w:trHeight w:val="653" w:hRule="atLeast"/>
        </w:trPr>
        <w:tc>
          <w:tcPr>
            <w:tcW w:w="733"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jc w:val="center"/>
              <w:rPr>
                <w:rFonts w:hint="default" w:ascii="等线" w:hAnsi="等线" w:eastAsia="等线" w:cs="等线"/>
                <w:i w:val="0"/>
                <w:color w:val="000000"/>
                <w:sz w:val="18"/>
                <w:szCs w:val="18"/>
                <w:u w:val="none"/>
              </w:rPr>
            </w:pPr>
          </w:p>
        </w:tc>
        <w:tc>
          <w:tcPr>
            <w:tcW w:w="581"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效益指标</w:t>
            </w:r>
          </w:p>
        </w:tc>
        <w:tc>
          <w:tcPr>
            <w:tcW w:w="1622"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社会效益指标</w:t>
            </w:r>
          </w:p>
        </w:tc>
        <w:tc>
          <w:tcPr>
            <w:tcW w:w="2860"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保证村级组织有场所可使用</w:t>
            </w:r>
          </w:p>
        </w:tc>
        <w:tc>
          <w:tcPr>
            <w:tcW w:w="1024"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w:t>
            </w:r>
          </w:p>
        </w:tc>
        <w:tc>
          <w:tcPr>
            <w:tcW w:w="719"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3</w:t>
            </w:r>
          </w:p>
        </w:tc>
        <w:tc>
          <w:tcPr>
            <w:tcW w:w="643"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年</w:t>
            </w:r>
          </w:p>
        </w:tc>
        <w:tc>
          <w:tcPr>
            <w:tcW w:w="690"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10</w:t>
            </w:r>
          </w:p>
        </w:tc>
      </w:tr>
      <w:tr>
        <w:tblPrEx>
          <w:tblCellMar>
            <w:top w:w="0" w:type="dxa"/>
            <w:left w:w="0" w:type="dxa"/>
            <w:bottom w:w="0" w:type="dxa"/>
            <w:right w:w="0" w:type="dxa"/>
          </w:tblCellMar>
        </w:tblPrEx>
        <w:trPr>
          <w:trHeight w:val="90" w:hRule="atLeast"/>
        </w:trPr>
        <w:tc>
          <w:tcPr>
            <w:tcW w:w="733"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jc w:val="center"/>
              <w:rPr>
                <w:rFonts w:hint="default" w:ascii="等线" w:hAnsi="等线" w:eastAsia="等线" w:cs="等线"/>
                <w:i w:val="0"/>
                <w:color w:val="000000"/>
                <w:sz w:val="18"/>
                <w:szCs w:val="18"/>
                <w:u w:val="none"/>
              </w:rPr>
            </w:pPr>
          </w:p>
        </w:tc>
        <w:tc>
          <w:tcPr>
            <w:tcW w:w="581"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满意度指标</w:t>
            </w:r>
          </w:p>
        </w:tc>
        <w:tc>
          <w:tcPr>
            <w:tcW w:w="1622"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服务对象满意度指标</w:t>
            </w:r>
          </w:p>
        </w:tc>
        <w:tc>
          <w:tcPr>
            <w:tcW w:w="2860"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白朗村村民</w:t>
            </w:r>
          </w:p>
        </w:tc>
        <w:tc>
          <w:tcPr>
            <w:tcW w:w="1024"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w:t>
            </w:r>
          </w:p>
        </w:tc>
        <w:tc>
          <w:tcPr>
            <w:tcW w:w="719"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90</w:t>
            </w:r>
          </w:p>
        </w:tc>
        <w:tc>
          <w:tcPr>
            <w:tcW w:w="643"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w:t>
            </w:r>
          </w:p>
        </w:tc>
        <w:tc>
          <w:tcPr>
            <w:tcW w:w="690"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10</w:t>
            </w:r>
          </w:p>
        </w:tc>
      </w:tr>
      <w:tr>
        <w:tblPrEx>
          <w:tblCellMar>
            <w:top w:w="0" w:type="dxa"/>
            <w:left w:w="0" w:type="dxa"/>
            <w:bottom w:w="0" w:type="dxa"/>
            <w:right w:w="0" w:type="dxa"/>
          </w:tblCellMar>
        </w:tblPrEx>
        <w:trPr>
          <w:trHeight w:val="590" w:hRule="atLeast"/>
        </w:trPr>
        <w:tc>
          <w:tcPr>
            <w:tcW w:w="733"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jc w:val="center"/>
              <w:rPr>
                <w:rFonts w:hint="default" w:ascii="等线" w:hAnsi="等线" w:eastAsia="等线" w:cs="等线"/>
                <w:i w:val="0"/>
                <w:color w:val="000000"/>
                <w:sz w:val="18"/>
                <w:szCs w:val="18"/>
                <w:u w:val="none"/>
              </w:rPr>
            </w:pPr>
          </w:p>
        </w:tc>
        <w:tc>
          <w:tcPr>
            <w:tcW w:w="581"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成本指标</w:t>
            </w:r>
          </w:p>
        </w:tc>
        <w:tc>
          <w:tcPr>
            <w:tcW w:w="1622"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经济成本指标</w:t>
            </w:r>
          </w:p>
        </w:tc>
        <w:tc>
          <w:tcPr>
            <w:tcW w:w="2860"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村公房建设及装修、采购等所需费用</w:t>
            </w:r>
          </w:p>
        </w:tc>
        <w:tc>
          <w:tcPr>
            <w:tcW w:w="1024"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w:t>
            </w:r>
          </w:p>
        </w:tc>
        <w:tc>
          <w:tcPr>
            <w:tcW w:w="719"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3768000</w:t>
            </w:r>
          </w:p>
        </w:tc>
        <w:tc>
          <w:tcPr>
            <w:tcW w:w="643"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元</w:t>
            </w:r>
          </w:p>
        </w:tc>
        <w:tc>
          <w:tcPr>
            <w:tcW w:w="690"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10</w:t>
            </w:r>
          </w:p>
        </w:tc>
      </w:tr>
    </w:tbl>
    <w:p>
      <w:pPr>
        <w:spacing w:line="588" w:lineRule="exact"/>
        <w:rPr>
          <w:rFonts w:hint="eastAsia" w:ascii="仿宋" w:hAnsi="仿宋" w:eastAsia="仿宋"/>
          <w:sz w:val="32"/>
          <w:szCs w:val="32"/>
          <w:highlight w:val="none"/>
          <w:lang w:val="en-US" w:eastAsia="zh-CN"/>
        </w:rPr>
      </w:pPr>
    </w:p>
    <w:tbl>
      <w:tblPr>
        <w:tblW w:w="8336" w:type="dxa"/>
        <w:tblInd w:w="0" w:type="dxa"/>
        <w:shd w:val="clear"/>
        <w:tblLayout w:type="fixed"/>
        <w:tblCellMar>
          <w:top w:w="0" w:type="dxa"/>
          <w:left w:w="0" w:type="dxa"/>
          <w:bottom w:w="0" w:type="dxa"/>
          <w:right w:w="0" w:type="dxa"/>
        </w:tblCellMar>
      </w:tblPr>
      <w:tblGrid>
        <w:gridCol w:w="433"/>
        <w:gridCol w:w="419"/>
        <w:gridCol w:w="1608"/>
        <w:gridCol w:w="3012"/>
        <w:gridCol w:w="956"/>
        <w:gridCol w:w="665"/>
        <w:gridCol w:w="600"/>
        <w:gridCol w:w="643"/>
      </w:tblGrid>
      <w:tr>
        <w:tblPrEx>
          <w:shd w:val="clear"/>
          <w:tblCellMar>
            <w:top w:w="0" w:type="dxa"/>
            <w:left w:w="0" w:type="dxa"/>
            <w:bottom w:w="0" w:type="dxa"/>
            <w:right w:w="0" w:type="dxa"/>
          </w:tblCellMar>
        </w:tblPrEx>
        <w:trPr>
          <w:trHeight w:val="605" w:hRule="atLeast"/>
        </w:trPr>
        <w:tc>
          <w:tcPr>
            <w:tcW w:w="433" w:type="dxa"/>
            <w:vMerge w:val="restart"/>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widowControl/>
              <w:suppressLineNumbers w:val="0"/>
              <w:jc w:val="center"/>
              <w:textAlignment w:val="center"/>
              <w:rPr>
                <w:rFonts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中央财政扶持村集体经济发展资金</w:t>
            </w:r>
          </w:p>
        </w:tc>
        <w:tc>
          <w:tcPr>
            <w:tcW w:w="419"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产出指标</w:t>
            </w:r>
          </w:p>
        </w:tc>
        <w:tc>
          <w:tcPr>
            <w:tcW w:w="160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数量指标</w:t>
            </w:r>
          </w:p>
        </w:tc>
        <w:tc>
          <w:tcPr>
            <w:tcW w:w="3012"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巴河镇入股种植灵芝、贝母等项目</w:t>
            </w:r>
          </w:p>
        </w:tc>
        <w:tc>
          <w:tcPr>
            <w:tcW w:w="956"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w:t>
            </w:r>
          </w:p>
        </w:tc>
        <w:tc>
          <w:tcPr>
            <w:tcW w:w="665"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w:t>
            </w:r>
          </w:p>
        </w:tc>
        <w:tc>
          <w:tcPr>
            <w:tcW w:w="600"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个</w:t>
            </w:r>
          </w:p>
        </w:tc>
        <w:tc>
          <w:tcPr>
            <w:tcW w:w="643"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10</w:t>
            </w:r>
          </w:p>
        </w:tc>
      </w:tr>
      <w:tr>
        <w:tblPrEx>
          <w:tblCellMar>
            <w:top w:w="0" w:type="dxa"/>
            <w:left w:w="0" w:type="dxa"/>
            <w:bottom w:w="0" w:type="dxa"/>
            <w:right w:w="0" w:type="dxa"/>
          </w:tblCellMar>
        </w:tblPrEx>
        <w:trPr>
          <w:trHeight w:val="605" w:hRule="atLeast"/>
        </w:trPr>
        <w:tc>
          <w:tcPr>
            <w:tcW w:w="433"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jc w:val="center"/>
              <w:rPr>
                <w:rFonts w:hint="default" w:ascii="等线" w:hAnsi="等线" w:eastAsia="等线" w:cs="等线"/>
                <w:i w:val="0"/>
                <w:color w:val="000000"/>
                <w:sz w:val="18"/>
                <w:szCs w:val="18"/>
                <w:u w:val="none"/>
              </w:rPr>
            </w:pPr>
          </w:p>
        </w:tc>
        <w:tc>
          <w:tcPr>
            <w:tcW w:w="419"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产出指标</w:t>
            </w:r>
          </w:p>
        </w:tc>
        <w:tc>
          <w:tcPr>
            <w:tcW w:w="160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数量指标</w:t>
            </w:r>
          </w:p>
        </w:tc>
        <w:tc>
          <w:tcPr>
            <w:tcW w:w="3012"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金达镇村集体经济项目</w:t>
            </w:r>
          </w:p>
        </w:tc>
        <w:tc>
          <w:tcPr>
            <w:tcW w:w="956"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w:t>
            </w:r>
          </w:p>
        </w:tc>
        <w:tc>
          <w:tcPr>
            <w:tcW w:w="665"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w:t>
            </w:r>
          </w:p>
        </w:tc>
        <w:tc>
          <w:tcPr>
            <w:tcW w:w="600"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个</w:t>
            </w:r>
          </w:p>
        </w:tc>
        <w:tc>
          <w:tcPr>
            <w:tcW w:w="643"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10</w:t>
            </w:r>
          </w:p>
        </w:tc>
      </w:tr>
      <w:tr>
        <w:tblPrEx>
          <w:tblCellMar>
            <w:top w:w="0" w:type="dxa"/>
            <w:left w:w="0" w:type="dxa"/>
            <w:bottom w:w="0" w:type="dxa"/>
            <w:right w:w="0" w:type="dxa"/>
          </w:tblCellMar>
        </w:tblPrEx>
        <w:trPr>
          <w:trHeight w:val="605" w:hRule="atLeast"/>
        </w:trPr>
        <w:tc>
          <w:tcPr>
            <w:tcW w:w="433"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jc w:val="center"/>
              <w:rPr>
                <w:rFonts w:hint="default" w:ascii="等线" w:hAnsi="等线" w:eastAsia="等线" w:cs="等线"/>
                <w:i w:val="0"/>
                <w:color w:val="000000"/>
                <w:sz w:val="18"/>
                <w:szCs w:val="18"/>
                <w:u w:val="none"/>
              </w:rPr>
            </w:pPr>
          </w:p>
        </w:tc>
        <w:tc>
          <w:tcPr>
            <w:tcW w:w="419"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产出指标</w:t>
            </w:r>
          </w:p>
        </w:tc>
        <w:tc>
          <w:tcPr>
            <w:tcW w:w="160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质量指标</w:t>
            </w:r>
          </w:p>
        </w:tc>
        <w:tc>
          <w:tcPr>
            <w:tcW w:w="3012"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入股种植项目成活率</w:t>
            </w:r>
          </w:p>
        </w:tc>
        <w:tc>
          <w:tcPr>
            <w:tcW w:w="956"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w:t>
            </w:r>
          </w:p>
        </w:tc>
        <w:tc>
          <w:tcPr>
            <w:tcW w:w="665"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80</w:t>
            </w:r>
          </w:p>
        </w:tc>
        <w:tc>
          <w:tcPr>
            <w:tcW w:w="600"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w:t>
            </w:r>
          </w:p>
        </w:tc>
        <w:tc>
          <w:tcPr>
            <w:tcW w:w="643"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10</w:t>
            </w:r>
          </w:p>
        </w:tc>
      </w:tr>
      <w:tr>
        <w:tblPrEx>
          <w:tblCellMar>
            <w:top w:w="0" w:type="dxa"/>
            <w:left w:w="0" w:type="dxa"/>
            <w:bottom w:w="0" w:type="dxa"/>
            <w:right w:w="0" w:type="dxa"/>
          </w:tblCellMar>
        </w:tblPrEx>
        <w:trPr>
          <w:trHeight w:val="605" w:hRule="atLeast"/>
        </w:trPr>
        <w:tc>
          <w:tcPr>
            <w:tcW w:w="433"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jc w:val="center"/>
              <w:rPr>
                <w:rFonts w:hint="default" w:ascii="等线" w:hAnsi="等线" w:eastAsia="等线" w:cs="等线"/>
                <w:i w:val="0"/>
                <w:color w:val="000000"/>
                <w:sz w:val="18"/>
                <w:szCs w:val="18"/>
                <w:u w:val="none"/>
              </w:rPr>
            </w:pPr>
          </w:p>
        </w:tc>
        <w:tc>
          <w:tcPr>
            <w:tcW w:w="419"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产出指标</w:t>
            </w:r>
          </w:p>
        </w:tc>
        <w:tc>
          <w:tcPr>
            <w:tcW w:w="160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质量指标</w:t>
            </w:r>
          </w:p>
        </w:tc>
        <w:tc>
          <w:tcPr>
            <w:tcW w:w="3012"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金达镇项目质量</w:t>
            </w:r>
          </w:p>
        </w:tc>
        <w:tc>
          <w:tcPr>
            <w:tcW w:w="956"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w:t>
            </w:r>
          </w:p>
        </w:tc>
        <w:tc>
          <w:tcPr>
            <w:tcW w:w="665"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100</w:t>
            </w:r>
          </w:p>
        </w:tc>
        <w:tc>
          <w:tcPr>
            <w:tcW w:w="600"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w:t>
            </w:r>
          </w:p>
        </w:tc>
        <w:tc>
          <w:tcPr>
            <w:tcW w:w="643"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10</w:t>
            </w:r>
          </w:p>
        </w:tc>
      </w:tr>
      <w:tr>
        <w:tblPrEx>
          <w:tblCellMar>
            <w:top w:w="0" w:type="dxa"/>
            <w:left w:w="0" w:type="dxa"/>
            <w:bottom w:w="0" w:type="dxa"/>
            <w:right w:w="0" w:type="dxa"/>
          </w:tblCellMar>
        </w:tblPrEx>
        <w:trPr>
          <w:trHeight w:val="605" w:hRule="atLeast"/>
        </w:trPr>
        <w:tc>
          <w:tcPr>
            <w:tcW w:w="433"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jc w:val="center"/>
              <w:rPr>
                <w:rFonts w:hint="default" w:ascii="等线" w:hAnsi="等线" w:eastAsia="等线" w:cs="等线"/>
                <w:i w:val="0"/>
                <w:color w:val="000000"/>
                <w:sz w:val="18"/>
                <w:szCs w:val="18"/>
                <w:u w:val="none"/>
              </w:rPr>
            </w:pPr>
          </w:p>
        </w:tc>
        <w:tc>
          <w:tcPr>
            <w:tcW w:w="419"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产出指标</w:t>
            </w:r>
          </w:p>
        </w:tc>
        <w:tc>
          <w:tcPr>
            <w:tcW w:w="160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时效指标</w:t>
            </w:r>
          </w:p>
        </w:tc>
        <w:tc>
          <w:tcPr>
            <w:tcW w:w="3012"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项目实施及完成时间</w:t>
            </w:r>
          </w:p>
        </w:tc>
        <w:tc>
          <w:tcPr>
            <w:tcW w:w="956"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w:t>
            </w:r>
          </w:p>
        </w:tc>
        <w:tc>
          <w:tcPr>
            <w:tcW w:w="665"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w:t>
            </w:r>
          </w:p>
        </w:tc>
        <w:tc>
          <w:tcPr>
            <w:tcW w:w="600"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年</w:t>
            </w:r>
          </w:p>
        </w:tc>
        <w:tc>
          <w:tcPr>
            <w:tcW w:w="643"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10</w:t>
            </w:r>
          </w:p>
        </w:tc>
      </w:tr>
      <w:tr>
        <w:tblPrEx>
          <w:tblCellMar>
            <w:top w:w="0" w:type="dxa"/>
            <w:left w:w="0" w:type="dxa"/>
            <w:bottom w:w="0" w:type="dxa"/>
            <w:right w:w="0" w:type="dxa"/>
          </w:tblCellMar>
        </w:tblPrEx>
        <w:trPr>
          <w:trHeight w:val="605" w:hRule="atLeast"/>
        </w:trPr>
        <w:tc>
          <w:tcPr>
            <w:tcW w:w="433"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jc w:val="center"/>
              <w:rPr>
                <w:rFonts w:hint="default" w:ascii="等线" w:hAnsi="等线" w:eastAsia="等线" w:cs="等线"/>
                <w:i w:val="0"/>
                <w:color w:val="000000"/>
                <w:sz w:val="18"/>
                <w:szCs w:val="18"/>
                <w:u w:val="none"/>
              </w:rPr>
            </w:pPr>
          </w:p>
        </w:tc>
        <w:tc>
          <w:tcPr>
            <w:tcW w:w="419"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产出指标</w:t>
            </w:r>
          </w:p>
        </w:tc>
        <w:tc>
          <w:tcPr>
            <w:tcW w:w="160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成本指标</w:t>
            </w:r>
          </w:p>
        </w:tc>
        <w:tc>
          <w:tcPr>
            <w:tcW w:w="3012"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按照合同规定及时拨付资金</w:t>
            </w:r>
          </w:p>
        </w:tc>
        <w:tc>
          <w:tcPr>
            <w:tcW w:w="956"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定性</w:t>
            </w:r>
          </w:p>
        </w:tc>
        <w:tc>
          <w:tcPr>
            <w:tcW w:w="665"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100</w:t>
            </w:r>
          </w:p>
        </w:tc>
        <w:tc>
          <w:tcPr>
            <w:tcW w:w="600"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w:t>
            </w:r>
          </w:p>
        </w:tc>
        <w:tc>
          <w:tcPr>
            <w:tcW w:w="643"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10</w:t>
            </w:r>
          </w:p>
        </w:tc>
      </w:tr>
      <w:tr>
        <w:tblPrEx>
          <w:tblCellMar>
            <w:top w:w="0" w:type="dxa"/>
            <w:left w:w="0" w:type="dxa"/>
            <w:bottom w:w="0" w:type="dxa"/>
            <w:right w:w="0" w:type="dxa"/>
          </w:tblCellMar>
        </w:tblPrEx>
        <w:trPr>
          <w:trHeight w:val="605" w:hRule="atLeast"/>
        </w:trPr>
        <w:tc>
          <w:tcPr>
            <w:tcW w:w="433"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jc w:val="center"/>
              <w:rPr>
                <w:rFonts w:hint="default" w:ascii="等线" w:hAnsi="等线" w:eastAsia="等线" w:cs="等线"/>
                <w:i w:val="0"/>
                <w:color w:val="000000"/>
                <w:sz w:val="18"/>
                <w:szCs w:val="18"/>
                <w:u w:val="none"/>
              </w:rPr>
            </w:pPr>
          </w:p>
        </w:tc>
        <w:tc>
          <w:tcPr>
            <w:tcW w:w="419"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效益指标</w:t>
            </w:r>
          </w:p>
        </w:tc>
        <w:tc>
          <w:tcPr>
            <w:tcW w:w="160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经济效益指标</w:t>
            </w:r>
          </w:p>
        </w:tc>
        <w:tc>
          <w:tcPr>
            <w:tcW w:w="3012"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带动村集体经济收入</w:t>
            </w:r>
          </w:p>
        </w:tc>
        <w:tc>
          <w:tcPr>
            <w:tcW w:w="956"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w:t>
            </w:r>
          </w:p>
        </w:tc>
        <w:tc>
          <w:tcPr>
            <w:tcW w:w="665"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50000</w:t>
            </w:r>
          </w:p>
        </w:tc>
        <w:tc>
          <w:tcPr>
            <w:tcW w:w="600"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元</w:t>
            </w:r>
          </w:p>
        </w:tc>
        <w:tc>
          <w:tcPr>
            <w:tcW w:w="643"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10</w:t>
            </w:r>
          </w:p>
        </w:tc>
      </w:tr>
      <w:tr>
        <w:tblPrEx>
          <w:tblCellMar>
            <w:top w:w="0" w:type="dxa"/>
            <w:left w:w="0" w:type="dxa"/>
            <w:bottom w:w="0" w:type="dxa"/>
            <w:right w:w="0" w:type="dxa"/>
          </w:tblCellMar>
        </w:tblPrEx>
        <w:trPr>
          <w:trHeight w:val="605" w:hRule="atLeast"/>
        </w:trPr>
        <w:tc>
          <w:tcPr>
            <w:tcW w:w="433"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jc w:val="center"/>
              <w:rPr>
                <w:rFonts w:hint="default" w:ascii="等线" w:hAnsi="等线" w:eastAsia="等线" w:cs="等线"/>
                <w:i w:val="0"/>
                <w:color w:val="000000"/>
                <w:sz w:val="18"/>
                <w:szCs w:val="18"/>
                <w:u w:val="none"/>
              </w:rPr>
            </w:pPr>
          </w:p>
        </w:tc>
        <w:tc>
          <w:tcPr>
            <w:tcW w:w="419"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效益指标</w:t>
            </w:r>
          </w:p>
        </w:tc>
        <w:tc>
          <w:tcPr>
            <w:tcW w:w="160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经济效益指标</w:t>
            </w:r>
          </w:p>
        </w:tc>
        <w:tc>
          <w:tcPr>
            <w:tcW w:w="3012"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帮助监测户稳固收入</w:t>
            </w:r>
          </w:p>
        </w:tc>
        <w:tc>
          <w:tcPr>
            <w:tcW w:w="956"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定性</w:t>
            </w:r>
          </w:p>
        </w:tc>
        <w:tc>
          <w:tcPr>
            <w:tcW w:w="665"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100</w:t>
            </w:r>
          </w:p>
        </w:tc>
        <w:tc>
          <w:tcPr>
            <w:tcW w:w="600"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w:t>
            </w:r>
          </w:p>
        </w:tc>
        <w:tc>
          <w:tcPr>
            <w:tcW w:w="643"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10</w:t>
            </w:r>
          </w:p>
        </w:tc>
      </w:tr>
      <w:tr>
        <w:tblPrEx>
          <w:tblCellMar>
            <w:top w:w="0" w:type="dxa"/>
            <w:left w:w="0" w:type="dxa"/>
            <w:bottom w:w="0" w:type="dxa"/>
            <w:right w:w="0" w:type="dxa"/>
          </w:tblCellMar>
        </w:tblPrEx>
        <w:trPr>
          <w:trHeight w:val="1286" w:hRule="atLeast"/>
        </w:trPr>
        <w:tc>
          <w:tcPr>
            <w:tcW w:w="433"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jc w:val="center"/>
              <w:rPr>
                <w:rFonts w:hint="default" w:ascii="等线" w:hAnsi="等线" w:eastAsia="等线" w:cs="等线"/>
                <w:i w:val="0"/>
                <w:color w:val="000000"/>
                <w:sz w:val="18"/>
                <w:szCs w:val="18"/>
                <w:u w:val="none"/>
              </w:rPr>
            </w:pPr>
          </w:p>
        </w:tc>
        <w:tc>
          <w:tcPr>
            <w:tcW w:w="419"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效益指标</w:t>
            </w:r>
          </w:p>
        </w:tc>
        <w:tc>
          <w:tcPr>
            <w:tcW w:w="160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可持续影响指标</w:t>
            </w:r>
          </w:p>
        </w:tc>
        <w:tc>
          <w:tcPr>
            <w:tcW w:w="3012"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巩固脱贫攻坚成果同乡村振兴有效衔接</w:t>
            </w:r>
          </w:p>
        </w:tc>
        <w:tc>
          <w:tcPr>
            <w:tcW w:w="956"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定性</w:t>
            </w:r>
          </w:p>
        </w:tc>
        <w:tc>
          <w:tcPr>
            <w:tcW w:w="665"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100</w:t>
            </w:r>
          </w:p>
        </w:tc>
        <w:tc>
          <w:tcPr>
            <w:tcW w:w="600"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w:t>
            </w:r>
          </w:p>
        </w:tc>
        <w:tc>
          <w:tcPr>
            <w:tcW w:w="643"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5</w:t>
            </w:r>
          </w:p>
        </w:tc>
      </w:tr>
      <w:tr>
        <w:tblPrEx>
          <w:tblCellMar>
            <w:top w:w="0" w:type="dxa"/>
            <w:left w:w="0" w:type="dxa"/>
            <w:bottom w:w="0" w:type="dxa"/>
            <w:right w:w="0" w:type="dxa"/>
          </w:tblCellMar>
        </w:tblPrEx>
        <w:trPr>
          <w:trHeight w:val="960" w:hRule="atLeast"/>
        </w:trPr>
        <w:tc>
          <w:tcPr>
            <w:tcW w:w="433"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jc w:val="center"/>
              <w:rPr>
                <w:rFonts w:hint="default" w:ascii="等线" w:hAnsi="等线" w:eastAsia="等线" w:cs="等线"/>
                <w:i w:val="0"/>
                <w:color w:val="000000"/>
                <w:sz w:val="18"/>
                <w:szCs w:val="18"/>
                <w:u w:val="none"/>
              </w:rPr>
            </w:pPr>
          </w:p>
        </w:tc>
        <w:tc>
          <w:tcPr>
            <w:tcW w:w="419"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满意度指标</w:t>
            </w:r>
          </w:p>
        </w:tc>
        <w:tc>
          <w:tcPr>
            <w:tcW w:w="160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服务对象满意度指标</w:t>
            </w:r>
          </w:p>
        </w:tc>
        <w:tc>
          <w:tcPr>
            <w:tcW w:w="3012"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村集体经济经营主体满意度</w:t>
            </w:r>
          </w:p>
        </w:tc>
        <w:tc>
          <w:tcPr>
            <w:tcW w:w="956"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w:t>
            </w:r>
          </w:p>
        </w:tc>
        <w:tc>
          <w:tcPr>
            <w:tcW w:w="665"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90</w:t>
            </w:r>
          </w:p>
        </w:tc>
        <w:tc>
          <w:tcPr>
            <w:tcW w:w="600"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w:t>
            </w:r>
          </w:p>
        </w:tc>
        <w:tc>
          <w:tcPr>
            <w:tcW w:w="643"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18"/>
                <w:szCs w:val="18"/>
                <w:u w:val="none"/>
              </w:rPr>
            </w:pPr>
            <w:r>
              <w:rPr>
                <w:rFonts w:hint="default" w:ascii="等线" w:hAnsi="等线" w:eastAsia="等线" w:cs="等线"/>
                <w:i w:val="0"/>
                <w:color w:val="000000"/>
                <w:kern w:val="0"/>
                <w:sz w:val="18"/>
                <w:szCs w:val="18"/>
                <w:u w:val="none"/>
                <w:bdr w:val="none" w:color="auto" w:sz="0" w:space="0"/>
                <w:lang w:val="en-US" w:eastAsia="zh-CN" w:bidi="ar"/>
              </w:rPr>
              <w:t>5</w:t>
            </w:r>
          </w:p>
        </w:tc>
      </w:tr>
    </w:tbl>
    <w:p>
      <w:pPr>
        <w:spacing w:line="588" w:lineRule="exact"/>
        <w:rPr>
          <w:rFonts w:hint="eastAsia" w:ascii="仿宋" w:hAnsi="仿宋" w:eastAsia="仿宋"/>
          <w:sz w:val="32"/>
          <w:szCs w:val="32"/>
          <w:highlight w:val="none"/>
          <w:lang w:val="en-US" w:eastAsia="zh-CN"/>
        </w:rPr>
      </w:pPr>
    </w:p>
    <w:p>
      <w:pPr>
        <w:spacing w:line="588" w:lineRule="exact"/>
        <w:rPr>
          <w:rFonts w:hint="eastAsia" w:ascii="仿宋" w:hAnsi="仿宋" w:eastAsia="仿宋"/>
          <w:sz w:val="32"/>
          <w:szCs w:val="32"/>
          <w:highlight w:val="none"/>
          <w:lang w:val="en-US" w:eastAsia="zh-CN"/>
        </w:rPr>
      </w:pP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2024年本单位无扶贫资金。</w:t>
      </w:r>
    </w:p>
    <w:p>
      <w:pPr>
        <w:ind w:firstLine="640" w:firstLineChars="200"/>
        <w:rPr>
          <w:rFonts w:ascii="仿宋" w:hAnsi="仿宋" w:eastAsia="仿宋"/>
          <w:sz w:val="32"/>
          <w:szCs w:val="32"/>
        </w:rPr>
      </w:pPr>
      <w:r>
        <w:rPr>
          <w:rFonts w:hint="eastAsia" w:ascii="楷体" w:hAnsi="楷体" w:eastAsia="楷体"/>
          <w:sz w:val="32"/>
          <w:szCs w:val="32"/>
        </w:rPr>
        <w:t>（六）政府债务情况。</w:t>
      </w:r>
    </w:p>
    <w:p>
      <w:pPr>
        <w:ind w:firstLine="640" w:firstLineChars="200"/>
        <w:rPr>
          <w:rFonts w:hint="default" w:ascii="仿宋" w:hAnsi="仿宋" w:eastAsia="仿宋"/>
          <w:sz w:val="32"/>
          <w:szCs w:val="32"/>
          <w:lang w:val="en-US" w:eastAsia="zh-CN"/>
        </w:rPr>
      </w:pPr>
      <w:r>
        <w:rPr>
          <w:rFonts w:hint="eastAsia" w:ascii="仿宋" w:hAnsi="仿宋" w:eastAsia="仿宋"/>
          <w:sz w:val="32"/>
          <w:szCs w:val="32"/>
          <w:lang w:val="en-US" w:eastAsia="zh-CN"/>
        </w:rPr>
        <w:t>2024年本单位无政府债务。</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bookmarkStart w:id="0" w:name="_GoBack"/>
      <w:bookmarkEnd w:id="0"/>
    </w:p>
    <w:p>
      <w:pPr>
        <w:rPr>
          <w:rFonts w:ascii="仿宋" w:hAnsi="仿宋" w:eastAsia="仿宋"/>
          <w:sz w:val="32"/>
          <w:szCs w:val="32"/>
        </w:rPr>
      </w:pPr>
    </w:p>
    <w:p>
      <w:pPr>
        <w:rPr>
          <w:rFonts w:hint="eastAsia"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ind w:firstLine="640" w:firstLineChars="200"/>
        <w:rPr>
          <w:rFonts w:ascii="仿宋" w:hAnsi="仿宋" w:eastAsia="仿宋"/>
          <w:sz w:val="32"/>
          <w:szCs w:val="32"/>
        </w:rPr>
      </w:pPr>
      <w:r>
        <w:rPr>
          <w:rFonts w:hint="eastAsia" w:ascii="仿宋" w:hAnsi="仿宋" w:eastAsia="仿宋"/>
          <w:sz w:val="32"/>
          <w:szCs w:val="32"/>
        </w:rPr>
        <w:t>（对部门</w:t>
      </w:r>
      <w:r>
        <w:rPr>
          <w:rFonts w:ascii="仿宋" w:hAnsi="仿宋" w:eastAsia="仿宋"/>
          <w:sz w:val="32"/>
          <w:szCs w:val="32"/>
        </w:rPr>
        <w:t>和单位</w:t>
      </w:r>
      <w:r>
        <w:rPr>
          <w:rFonts w:hint="eastAsia" w:ascii="仿宋" w:hAnsi="仿宋" w:eastAsia="仿宋"/>
          <w:sz w:val="32"/>
          <w:szCs w:val="32"/>
        </w:rPr>
        <w:t>专业</w:t>
      </w:r>
      <w:r>
        <w:rPr>
          <w:rFonts w:ascii="仿宋" w:hAnsi="仿宋" w:eastAsia="仿宋"/>
          <w:sz w:val="32"/>
          <w:szCs w:val="32"/>
        </w:rPr>
        <w:t>性较强的名次进行解释</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二、事业收入：</w:t>
      </w:r>
      <w:r>
        <w:rPr>
          <w:rFonts w:hint="eastAsia" w:ascii="仿宋" w:hAnsi="仿宋" w:eastAsia="仿宋"/>
          <w:sz w:val="32"/>
          <w:szCs w:val="32"/>
        </w:rPr>
        <w:t>指事业单位开展专业业务活动及辅助活动所取得的收入。</w:t>
      </w:r>
    </w:p>
    <w:p>
      <w:pPr>
        <w:ind w:firstLine="640" w:firstLineChars="200"/>
        <w:rPr>
          <w:rFonts w:ascii="仿宋" w:hAnsi="仿宋" w:eastAsia="仿宋"/>
          <w:sz w:val="32"/>
          <w:szCs w:val="32"/>
        </w:rPr>
      </w:pPr>
      <w:r>
        <w:rPr>
          <w:rFonts w:hint="eastAsia" w:ascii="黑体" w:hAnsi="黑体" w:eastAsia="黑体"/>
          <w:sz w:val="32"/>
          <w:szCs w:val="32"/>
        </w:rPr>
        <w:t>三、事业单位经营收入：</w:t>
      </w:r>
      <w:r>
        <w:rPr>
          <w:rFonts w:hint="eastAsia" w:ascii="仿宋" w:hAnsi="仿宋" w:eastAsia="仿宋"/>
          <w:sz w:val="32"/>
          <w:szCs w:val="32"/>
        </w:rPr>
        <w:t>指事业单位在专业业务活动及其辅助活动之外开展非独立核算经营活动取得的收入。</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四</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r>
        <w:rPr>
          <w:rFonts w:ascii="黑体" w:hAnsi="黑体" w:eastAsia="黑体"/>
          <w:sz w:val="32"/>
          <w:szCs w:val="32"/>
        </w:rPr>
        <w:t>五</w:t>
      </w:r>
      <w:r>
        <w:rPr>
          <w:rFonts w:hint="eastAsia" w:ascii="黑体" w:hAnsi="黑体" w:eastAsia="黑体"/>
          <w:sz w:val="32"/>
          <w:szCs w:val="32"/>
        </w:rPr>
        <w:t>、其他收入：</w:t>
      </w:r>
      <w:r>
        <w:rPr>
          <w:rFonts w:hint="eastAsia" w:ascii="仿宋" w:hAnsi="仿宋" w:eastAsia="仿宋"/>
          <w:sz w:val="32"/>
          <w:szCs w:val="32"/>
        </w:rPr>
        <w:t>指除上述“一般公共预算拨款收入”、“事业收入”、“事业单位经营收入”等以外的收入。主要是按规定动用的售房收入、存款利息收入等。</w:t>
      </w:r>
    </w:p>
    <w:p>
      <w:pPr>
        <w:ind w:firstLine="640" w:firstLineChars="200"/>
        <w:rPr>
          <w:rFonts w:ascii="仿宋" w:hAnsi="仿宋" w:eastAsia="仿宋"/>
          <w:sz w:val="32"/>
          <w:szCs w:val="32"/>
        </w:rPr>
      </w:pPr>
      <w:r>
        <w:rPr>
          <w:rFonts w:hint="eastAsia" w:ascii="黑体" w:hAnsi="黑体" w:eastAsia="黑体"/>
          <w:sz w:val="32"/>
          <w:szCs w:val="32"/>
        </w:rPr>
        <w:t>六、上年结转：</w:t>
      </w:r>
      <w:r>
        <w:rPr>
          <w:rFonts w:hint="eastAsia" w:ascii="仿宋" w:hAnsi="仿宋" w:eastAsia="仿宋"/>
          <w:sz w:val="32"/>
          <w:szCs w:val="32"/>
        </w:rPr>
        <w:t>指以前年度安排、结转到本年仍按原规定用途继续使用的资金。</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七</w:t>
      </w:r>
      <w:r>
        <w:rPr>
          <w:rFonts w:ascii="黑体" w:hAnsi="黑体" w:eastAsia="黑体"/>
          <w:sz w:val="32"/>
          <w:szCs w:val="32"/>
        </w:rPr>
        <w:t>、</w:t>
      </w:r>
      <w:r>
        <w:rPr>
          <w:rFonts w:hint="eastAsia" w:ascii="黑体" w:hAnsi="黑体" w:eastAsia="黑体"/>
          <w:sz w:val="32"/>
          <w:szCs w:val="32"/>
        </w:rPr>
        <w:t>重点项目：</w:t>
      </w:r>
      <w:r>
        <w:rPr>
          <w:rFonts w:hint="eastAsia" w:ascii="仿宋" w:hAnsi="仿宋" w:eastAsia="仿宋"/>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ascii="黑体" w:hAnsi="黑体" w:eastAsia="黑体"/>
          <w:sz w:val="32"/>
          <w:szCs w:val="32"/>
        </w:rPr>
        <w:t>八、基本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九</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hint="eastAsia" w:ascii="仿宋" w:hAnsi="仿宋" w:eastAsia="仿宋"/>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事业单位经营支出：</w:t>
      </w:r>
      <w:r>
        <w:rPr>
          <w:rFonts w:hint="eastAsia" w:ascii="仿宋" w:hAnsi="仿宋" w:eastAsia="仿宋"/>
          <w:sz w:val="32"/>
          <w:szCs w:val="32"/>
        </w:rPr>
        <w:t>指事业单位在专业业务活动及其辅助活动之外开展非独立核算经营活动发生的支出。</w:t>
      </w:r>
    </w:p>
    <w:p>
      <w:pPr>
        <w:ind w:firstLine="640" w:firstLineChars="200"/>
        <w:rPr>
          <w:rFonts w:ascii="仿宋" w:hAnsi="仿宋" w:eastAsia="仿宋"/>
          <w:sz w:val="32"/>
          <w:szCs w:val="32"/>
        </w:rPr>
      </w:pPr>
      <w:r>
        <w:rPr>
          <w:rFonts w:hint="eastAsia" w:ascii="仿宋" w:hAnsi="仿宋" w:eastAsia="仿宋"/>
          <w:sz w:val="32"/>
          <w:szCs w:val="32"/>
        </w:rPr>
        <w:t>……</w:t>
      </w: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modern"/>
    <w:pitch w:val="default"/>
    <w:sig w:usb0="800002BF" w:usb1="38CF7CFA" w:usb2="00000016" w:usb3="00000000" w:csb0="00040001" w:csb1="00000000"/>
  </w:font>
  <w:font w:name="等线">
    <w:altName w:val="Arial Unicode MS"/>
    <w:panose1 w:val="00000000000000000000"/>
    <w:charset w:val="00"/>
    <w:family w:val="auto"/>
    <w:pitch w:val="default"/>
    <w:sig w:usb0="00000000" w:usb1="00000000" w:usb2="00000000" w:usb3="00000000" w:csb0="00000000"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8"/>
        <w:rFonts w:ascii="宋体" w:hAnsi="宋体" w:eastAsia="宋体"/>
        <w:sz w:val="24"/>
        <w:szCs w:val="24"/>
      </w:rPr>
    </w:pPr>
    <w:r>
      <w:rPr>
        <w:rStyle w:val="8"/>
        <w:rFonts w:ascii="宋体" w:hAnsi="宋体" w:eastAsia="宋体"/>
        <w:sz w:val="24"/>
        <w:szCs w:val="24"/>
      </w:rPr>
      <w:fldChar w:fldCharType="begin"/>
    </w:r>
    <w:r>
      <w:rPr>
        <w:rStyle w:val="8"/>
        <w:rFonts w:ascii="宋体" w:hAnsi="宋体" w:eastAsia="宋体"/>
        <w:sz w:val="24"/>
        <w:szCs w:val="24"/>
      </w:rPr>
      <w:instrText xml:space="preserve">PAGE  </w:instrText>
    </w:r>
    <w:r>
      <w:rPr>
        <w:rStyle w:val="8"/>
        <w:rFonts w:ascii="宋体" w:hAnsi="宋体" w:eastAsia="宋体"/>
        <w:sz w:val="24"/>
        <w:szCs w:val="24"/>
      </w:rPr>
      <w:fldChar w:fldCharType="separate"/>
    </w:r>
    <w:r>
      <w:rPr>
        <w:rStyle w:val="8"/>
        <w:rFonts w:ascii="宋体" w:hAnsi="宋体" w:eastAsia="宋体"/>
        <w:sz w:val="24"/>
        <w:szCs w:val="24"/>
      </w:rPr>
      <w:t>- 3 -</w:t>
    </w:r>
    <w:r>
      <w:rPr>
        <w:rStyle w:val="8"/>
        <w:rFonts w:ascii="宋体" w:hAnsi="宋体" w:eastAsia="宋体"/>
        <w:sz w:val="24"/>
        <w:szCs w:val="24"/>
      </w:rPr>
      <w:fldChar w:fldCharType="end"/>
    </w: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8"/>
      </w:rPr>
    </w:pPr>
    <w:r>
      <w:rPr>
        <w:rStyle w:val="8"/>
      </w:rPr>
      <w:fldChar w:fldCharType="begin"/>
    </w:r>
    <w:r>
      <w:rPr>
        <w:rStyle w:val="8"/>
      </w:rPr>
      <w:instrText xml:space="preserve">PAGE  </w:instrText>
    </w:r>
    <w:r>
      <w:rPr>
        <w:rStyle w:val="8"/>
      </w:rPr>
      <w:fldChar w:fldCharType="end"/>
    </w:r>
  </w:p>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0481A53"/>
    <w:multiLevelType w:val="singleLevel"/>
    <w:tmpl w:val="30481A53"/>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01301030"/>
    <w:rsid w:val="072660C9"/>
    <w:rsid w:val="07CA174D"/>
    <w:rsid w:val="0B405620"/>
    <w:rsid w:val="0D734ED2"/>
    <w:rsid w:val="0EDC0985"/>
    <w:rsid w:val="0F7E7BBC"/>
    <w:rsid w:val="11FB3283"/>
    <w:rsid w:val="129B1D8E"/>
    <w:rsid w:val="18ED7324"/>
    <w:rsid w:val="191D267B"/>
    <w:rsid w:val="1FCB65CE"/>
    <w:rsid w:val="20602EE3"/>
    <w:rsid w:val="208B3218"/>
    <w:rsid w:val="28CB59E3"/>
    <w:rsid w:val="317A3D31"/>
    <w:rsid w:val="35594213"/>
    <w:rsid w:val="357D452C"/>
    <w:rsid w:val="35C1265C"/>
    <w:rsid w:val="38724013"/>
    <w:rsid w:val="3D385459"/>
    <w:rsid w:val="419F3297"/>
    <w:rsid w:val="471450CA"/>
    <w:rsid w:val="473D41F0"/>
    <w:rsid w:val="4E2745A0"/>
    <w:rsid w:val="4F257FD0"/>
    <w:rsid w:val="4FC3330A"/>
    <w:rsid w:val="5027108E"/>
    <w:rsid w:val="52E21BD5"/>
    <w:rsid w:val="572F7875"/>
    <w:rsid w:val="5A545FA1"/>
    <w:rsid w:val="5E6C76BE"/>
    <w:rsid w:val="5EB93340"/>
    <w:rsid w:val="6407458E"/>
    <w:rsid w:val="643950D8"/>
    <w:rsid w:val="6C471EB0"/>
    <w:rsid w:val="721D0B9E"/>
    <w:rsid w:val="725A56DF"/>
    <w:rsid w:val="75B657FA"/>
    <w:rsid w:val="79B05335"/>
    <w:rsid w:val="7B3F415F"/>
    <w:rsid w:val="7B483C0E"/>
    <w:rsid w:val="7D3A12D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0" w:semiHidden="0" w:name="header"/>
    <w:lsdException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ody Text"/>
    <w:basedOn w:val="1"/>
    <w:qFormat/>
    <w:uiPriority w:val="0"/>
    <w:pPr>
      <w:spacing w:after="120" w:afterLines="0"/>
    </w:pPr>
  </w:style>
  <w:style w:type="paragraph" w:styleId="3">
    <w:name w:val="Balloon Text"/>
    <w:basedOn w:val="1"/>
    <w:link w:val="11"/>
    <w:semiHidden/>
    <w:unhideWhenUsed/>
    <w:qFormat/>
    <w:uiPriority w:val="99"/>
    <w:rPr>
      <w:sz w:val="18"/>
      <w:szCs w:val="18"/>
    </w:rPr>
  </w:style>
  <w:style w:type="paragraph" w:styleId="4">
    <w:name w:val="footer"/>
    <w:basedOn w:val="1"/>
    <w:link w:val="10"/>
    <w:unhideWhenUsed/>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5">
    <w:name w:val="header"/>
    <w:basedOn w:val="1"/>
    <w:link w:val="9"/>
    <w:unhideWhenUsed/>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8">
    <w:name w:val="page number"/>
    <w:basedOn w:val="7"/>
    <w:qFormat/>
    <w:uiPriority w:val="0"/>
  </w:style>
  <w:style w:type="character" w:customStyle="1" w:styleId="9">
    <w:name w:val="页眉 字符"/>
    <w:basedOn w:val="7"/>
    <w:link w:val="5"/>
    <w:qFormat/>
    <w:uiPriority w:val="99"/>
    <w:rPr>
      <w:sz w:val="18"/>
      <w:szCs w:val="18"/>
    </w:rPr>
  </w:style>
  <w:style w:type="character" w:customStyle="1" w:styleId="10">
    <w:name w:val="页脚 字符"/>
    <w:basedOn w:val="7"/>
    <w:link w:val="4"/>
    <w:uiPriority w:val="99"/>
    <w:rPr>
      <w:sz w:val="18"/>
      <w:szCs w:val="18"/>
    </w:rPr>
  </w:style>
  <w:style w:type="character" w:customStyle="1" w:styleId="11">
    <w:name w:val="批注框文本 字符"/>
    <w:basedOn w:val="7"/>
    <w:link w:val="3"/>
    <w:semiHidden/>
    <w:qFormat/>
    <w:uiPriority w:val="99"/>
    <w:rPr>
      <w:rFonts w:ascii="Times New Roman" w:hAnsi="Times New Roman" w:eastAsia="宋体" w:cs="Times New Roman"/>
      <w:sz w:val="18"/>
      <w:szCs w:val="18"/>
    </w:rPr>
  </w:style>
  <w:style w:type="character" w:customStyle="1" w:styleId="12">
    <w:name w:val="font01"/>
    <w:basedOn w:val="7"/>
    <w:uiPriority w:val="0"/>
    <w:rPr>
      <w:rFonts w:hint="eastAsia" w:ascii="宋体" w:hAnsi="宋体" w:eastAsia="宋体" w:cs="宋体"/>
      <w:color w:val="000000"/>
      <w:sz w:val="18"/>
      <w:szCs w:val="18"/>
      <w:u w:val="non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707</Words>
  <Characters>4031</Characters>
  <Lines>33</Lines>
  <Paragraphs>9</Paragraphs>
  <TotalTime>5</TotalTime>
  <ScaleCrop>false</ScaleCrop>
  <LinksUpToDate>false</LinksUpToDate>
  <CharactersWithSpaces>4729</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2024-02-06T04:52:31Z</dcterms:modified>
  <cp:revision>1645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