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color w:val="000000"/>
          <w:sz w:val="44"/>
          <w:szCs w:val="44"/>
        </w:rPr>
      </w:pPr>
      <w:r>
        <w:rPr>
          <w:rFonts w:hint="eastAsia"/>
          <w:color w:val="000000"/>
          <w:sz w:val="44"/>
          <w:szCs w:val="44"/>
        </w:rPr>
        <w:t>工布江达县</w:t>
      </w:r>
      <w:r>
        <w:rPr>
          <w:rFonts w:hint="eastAsia"/>
          <w:color w:val="000000"/>
          <w:sz w:val="44"/>
          <w:szCs w:val="44"/>
          <w:lang w:eastAsia="zh-CN"/>
        </w:rPr>
        <w:t>加兴乡卫生院2024</w:t>
      </w:r>
      <w:r>
        <w:rPr>
          <w:rFonts w:hint="eastAsia"/>
          <w:color w:val="000000"/>
          <w:sz w:val="44"/>
          <w:szCs w:val="44"/>
        </w:rPr>
        <w:t>年部门预算</w:t>
      </w: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color w:val="000000"/>
          <w:sz w:val="44"/>
          <w:szCs w:val="44"/>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jc w:val="center"/>
        <w:textAlignment w:val="auto"/>
        <w:rPr>
          <w:rFonts w:hint="eastAsia" w:ascii="仿宋_GB2312" w:hAnsi="仿宋_GB2312" w:eastAsia="仿宋_GB2312" w:cs="仿宋_GB2312"/>
          <w:b w:val="0"/>
          <w:bCs w:val="0"/>
          <w:color w:val="000000"/>
          <w:sz w:val="32"/>
          <w:szCs w:val="32"/>
        </w:rPr>
      </w:pPr>
      <w:r>
        <w:rPr>
          <w:rFonts w:hint="eastAsia"/>
          <w:color w:val="000000"/>
          <w:sz w:val="44"/>
          <w:szCs w:val="44"/>
        </w:rPr>
        <w:t xml:space="preserve">    </w:t>
      </w:r>
      <w:r>
        <w:rPr>
          <w:rFonts w:hint="eastAsia" w:ascii="仿宋_GB2312" w:hAnsi="仿宋_GB2312" w:eastAsia="仿宋_GB2312" w:cs="仿宋_GB2312"/>
          <w:b w:val="0"/>
          <w:bCs w:val="0"/>
          <w:color w:val="000000"/>
          <w:sz w:val="32"/>
          <w:szCs w:val="32"/>
          <w:lang w:eastAsia="zh-CN"/>
        </w:rPr>
        <w:t>2024</w:t>
      </w:r>
      <w:r>
        <w:rPr>
          <w:rFonts w:hint="eastAsia" w:ascii="仿宋_GB2312" w:hAnsi="仿宋_GB2312" w:eastAsia="仿宋_GB2312" w:cs="仿宋_GB2312"/>
          <w:b w:val="0"/>
          <w:bCs w:val="0"/>
          <w:color w:val="000000"/>
          <w:sz w:val="32"/>
          <w:szCs w:val="32"/>
        </w:rPr>
        <w:t xml:space="preserve">  年   </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 xml:space="preserve">  月  </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 xml:space="preserve">   日</w:t>
      </w:r>
    </w:p>
    <w:p>
      <w:pPr>
        <w:jc w:val="center"/>
        <w:rPr>
          <w:rFonts w:hint="eastAsia" w:ascii="黑体" w:hAnsi="仿宋_GB2312" w:eastAsia="黑体" w:cs="仿宋_GB2312"/>
          <w:sz w:val="36"/>
          <w:szCs w:val="36"/>
        </w:rPr>
      </w:pPr>
    </w:p>
    <w:p>
      <w:pPr>
        <w:pStyle w:val="13"/>
        <w:spacing w:before="0" w:beforeAutospacing="0" w:after="432" w:afterAutospacing="0" w:line="480" w:lineRule="auto"/>
        <w:ind w:firstLine="480"/>
        <w:jc w:val="center"/>
        <w:rPr>
          <w:rFonts w:hint="eastAsia" w:eastAsia="宋体"/>
          <w:color w:val="000000"/>
          <w:sz w:val="44"/>
          <w:szCs w:val="44"/>
        </w:rPr>
      </w:pPr>
      <w:r>
        <w:rPr>
          <w:rFonts w:hint="eastAsia" w:eastAsia="宋体"/>
          <w:color w:val="000000"/>
          <w:sz w:val="44"/>
          <w:szCs w:val="44"/>
        </w:rPr>
        <w:t>目 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val="0"/>
          <w:bCs/>
          <w:color w:val="000000"/>
          <w:sz w:val="32"/>
          <w:szCs w:val="32"/>
          <w:lang w:bidi="ar"/>
        </w:rPr>
      </w:pPr>
      <w:r>
        <w:rPr>
          <w:rFonts w:hint="eastAsia" w:ascii="楷体_GB2312" w:hAnsi="楷体_GB2312" w:eastAsia="楷体_GB2312" w:cs="楷体_GB2312"/>
          <w:b w:val="0"/>
          <w:bCs/>
          <w:color w:val="000000"/>
          <w:sz w:val="32"/>
          <w:szCs w:val="32"/>
          <w:lang w:bidi="ar"/>
        </w:rPr>
        <w:t>第一部分 工布江达县加兴乡卫生院概况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一、部门预算单位构成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二、部门职责和机构设置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val="0"/>
          <w:bCs/>
          <w:color w:val="000000"/>
          <w:sz w:val="32"/>
          <w:szCs w:val="32"/>
          <w:lang w:bidi="ar"/>
        </w:rPr>
      </w:pPr>
      <w:r>
        <w:rPr>
          <w:rFonts w:hint="eastAsia" w:ascii="楷体_GB2312" w:hAnsi="楷体_GB2312" w:eastAsia="楷体_GB2312" w:cs="楷体_GB2312"/>
          <w:b w:val="0"/>
          <w:bCs/>
          <w:color w:val="000000"/>
          <w:sz w:val="32"/>
          <w:szCs w:val="32"/>
          <w:lang w:bidi="ar"/>
        </w:rPr>
        <w:t>第二部分 工布江达县加兴乡卫生院</w:t>
      </w:r>
      <w:r>
        <w:rPr>
          <w:rFonts w:hint="eastAsia" w:ascii="楷体_GB2312" w:hAnsi="楷体_GB2312" w:eastAsia="楷体_GB2312" w:cs="楷体_GB2312"/>
          <w:b w:val="0"/>
          <w:bCs/>
          <w:color w:val="000000"/>
          <w:sz w:val="32"/>
          <w:szCs w:val="32"/>
          <w:lang w:eastAsia="zh-CN" w:bidi="ar"/>
        </w:rPr>
        <w:t>2024</w:t>
      </w:r>
      <w:r>
        <w:rPr>
          <w:rFonts w:hint="eastAsia" w:ascii="楷体_GB2312" w:hAnsi="楷体_GB2312" w:eastAsia="楷体_GB2312" w:cs="楷体_GB2312"/>
          <w:b w:val="0"/>
          <w:bCs/>
          <w:color w:val="000000"/>
          <w:sz w:val="32"/>
          <w:szCs w:val="32"/>
          <w:lang w:bidi="ar"/>
        </w:rPr>
        <w:t xml:space="preserve">年度部门预算明细表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收入总表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支出总表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四、财政拨款收支总表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五、一般公共预算收支总表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六</w:t>
      </w:r>
      <w:r>
        <w:rPr>
          <w:rFonts w:hint="eastAsia" w:ascii="仿宋" w:hAnsi="仿宋" w:eastAsia="仿宋" w:cs="仿宋"/>
          <w:i w:val="0"/>
          <w:iCs w:val="0"/>
          <w:caps w:val="0"/>
          <w:color w:val="auto"/>
          <w:spacing w:val="0"/>
          <w:sz w:val="32"/>
          <w:szCs w:val="32"/>
          <w:shd w:val="clear" w:color="auto" w:fill="FFFFFF"/>
        </w:rPr>
        <w:t>、一般公共预算财政拨款支出表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七</w:t>
      </w:r>
      <w:r>
        <w:rPr>
          <w:rFonts w:hint="eastAsia" w:ascii="仿宋" w:hAnsi="仿宋" w:eastAsia="仿宋" w:cs="仿宋"/>
          <w:i w:val="0"/>
          <w:iCs w:val="0"/>
          <w:caps w:val="0"/>
          <w:color w:val="auto"/>
          <w:spacing w:val="0"/>
          <w:sz w:val="32"/>
          <w:szCs w:val="32"/>
          <w:shd w:val="clear" w:color="auto" w:fill="FFFFFF"/>
        </w:rPr>
        <w:t>、一般公共预算财政拨款基本支出表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八</w:t>
      </w:r>
      <w:r>
        <w:rPr>
          <w:rFonts w:hint="eastAsia" w:ascii="仿宋" w:hAnsi="仿宋" w:eastAsia="仿宋" w:cs="仿宋"/>
          <w:i w:val="0"/>
          <w:iCs w:val="0"/>
          <w:caps w:val="0"/>
          <w:color w:val="auto"/>
          <w:spacing w:val="0"/>
          <w:sz w:val="32"/>
          <w:szCs w:val="32"/>
          <w:shd w:val="clear" w:color="auto" w:fill="FFFFFF"/>
        </w:rPr>
        <w:t>、一般公共预算财政拨款“三公”经费支出表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九、项目绩效目标表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十、政府购买服务预算表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十一、政府采购预算表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十二、政府性基金收支总表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十三、政府性基金收支总表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十四、政府性基金基本支出</w:t>
      </w:r>
      <w:r>
        <w:rPr>
          <w:rFonts w:hint="eastAsia" w:ascii="仿宋" w:hAnsi="仿宋" w:eastAsia="仿宋" w:cs="仿宋"/>
          <w:i w:val="0"/>
          <w:iCs w:val="0"/>
          <w:caps w:val="0"/>
          <w:color w:val="auto"/>
          <w:spacing w:val="0"/>
          <w:sz w:val="32"/>
          <w:szCs w:val="32"/>
          <w:shd w:val="clear" w:color="auto" w:fill="FFFFFF"/>
        </w:rPr>
        <w:t>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十五、政府性基金“三公”经费支出表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十六、项目支出表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val="0"/>
          <w:bCs/>
          <w:color w:val="000000"/>
          <w:sz w:val="32"/>
          <w:szCs w:val="32"/>
          <w:lang w:bidi="ar"/>
        </w:rPr>
      </w:pPr>
      <w:r>
        <w:rPr>
          <w:rFonts w:hint="eastAsia" w:ascii="楷体_GB2312" w:hAnsi="楷体_GB2312" w:eastAsia="楷体_GB2312" w:cs="楷体_GB2312"/>
          <w:b w:val="0"/>
          <w:bCs/>
          <w:color w:val="000000"/>
          <w:sz w:val="32"/>
          <w:szCs w:val="32"/>
          <w:lang w:bidi="ar"/>
        </w:rPr>
        <w:t>第三部分 工布江达县加兴乡卫生院</w:t>
      </w:r>
      <w:r>
        <w:rPr>
          <w:rFonts w:hint="eastAsia" w:ascii="楷体_GB2312" w:hAnsi="楷体_GB2312" w:eastAsia="楷体_GB2312" w:cs="楷体_GB2312"/>
          <w:b w:val="0"/>
          <w:bCs/>
          <w:color w:val="000000"/>
          <w:sz w:val="32"/>
          <w:szCs w:val="32"/>
          <w:lang w:eastAsia="zh-CN" w:bidi="ar"/>
        </w:rPr>
        <w:t>2024</w:t>
      </w:r>
      <w:r>
        <w:rPr>
          <w:rFonts w:hint="eastAsia" w:ascii="楷体_GB2312" w:hAnsi="楷体_GB2312" w:eastAsia="楷体_GB2312" w:cs="楷体_GB2312"/>
          <w:b w:val="0"/>
          <w:bCs/>
          <w:color w:val="000000"/>
          <w:sz w:val="32"/>
          <w:szCs w:val="32"/>
          <w:lang w:bidi="ar"/>
        </w:rPr>
        <w:t>年度部门预算数据说明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一、收入支出</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总体情况说明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二、收入</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三、支出</w:t>
      </w:r>
      <w:r>
        <w:rPr>
          <w:rFonts w:hint="eastAsia" w:ascii="仿宋" w:hAnsi="仿宋" w:eastAsia="仿宋" w:cs="仿宋"/>
          <w:i w:val="0"/>
          <w:iCs w:val="0"/>
          <w:caps w:val="0"/>
          <w:color w:val="auto"/>
          <w:spacing w:val="0"/>
          <w:sz w:val="32"/>
          <w:szCs w:val="32"/>
          <w:shd w:val="clear" w:color="auto" w:fill="FFFFFF"/>
          <w:lang w:eastAsia="zh-CN"/>
        </w:rPr>
        <w:t>预算</w:t>
      </w:r>
      <w:r>
        <w:rPr>
          <w:rFonts w:hint="eastAsia" w:ascii="仿宋" w:hAnsi="仿宋" w:eastAsia="仿宋" w:cs="仿宋"/>
          <w:i w:val="0"/>
          <w:iCs w:val="0"/>
          <w:caps w:val="0"/>
          <w:color w:val="auto"/>
          <w:spacing w:val="0"/>
          <w:sz w:val="32"/>
          <w:szCs w:val="32"/>
          <w:shd w:val="clear" w:color="auto" w:fill="FFFFFF"/>
        </w:rPr>
        <w:t>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四、一般公共预算财政拨款收入支出总体情况说明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五、一般公共预算财政拨款支出情况说明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六、一般公共预算财政拨款基本支出情况说明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七、一般公共预算财政拨款“三公”经费支出情况说明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八、国有资本经营预算财政拨款收入支出表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九、政府性基金预算财政拨款项目支出表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十</w:t>
      </w:r>
      <w:r>
        <w:rPr>
          <w:rFonts w:hint="eastAsia" w:ascii="仿宋" w:hAnsi="仿宋" w:eastAsia="仿宋" w:cs="仿宋"/>
          <w:i w:val="0"/>
          <w:iCs w:val="0"/>
          <w:caps w:val="0"/>
          <w:color w:val="auto"/>
          <w:spacing w:val="0"/>
          <w:sz w:val="32"/>
          <w:szCs w:val="32"/>
          <w:shd w:val="clear" w:color="auto" w:fill="FFFFFF"/>
        </w:rPr>
        <w:t>、其他重要事项情况说明</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val="0"/>
          <w:bCs/>
          <w:color w:val="000000"/>
          <w:sz w:val="32"/>
          <w:szCs w:val="32"/>
          <w:lang w:bidi="ar"/>
        </w:rPr>
      </w:pPr>
      <w:r>
        <w:rPr>
          <w:rFonts w:hint="eastAsia" w:ascii="楷体_GB2312" w:hAnsi="楷体_GB2312" w:eastAsia="楷体_GB2312" w:cs="楷体_GB2312"/>
          <w:b w:val="0"/>
          <w:bCs/>
          <w:color w:val="000000"/>
          <w:sz w:val="32"/>
          <w:szCs w:val="32"/>
          <w:lang w:bidi="ar"/>
        </w:rPr>
        <w:t>第四部分  名词解释</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outlineLvl w:val="9"/>
        <w:rPr>
          <w:rFonts w:ascii="仿宋_GB2312" w:eastAsia="仿宋_GB2312"/>
          <w:sz w:val="32"/>
          <w:szCs w:val="32"/>
        </w:rPr>
      </w:pP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工布江达县加兴乡卫生院概况 </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6" w:lineRule="exact"/>
        <w:ind w:leftChars="200" w:right="0" w:rightChars="0"/>
        <w:jc w:val="both"/>
        <w:textAlignment w:val="auto"/>
        <w:outlineLvl w:val="9"/>
        <w:rPr>
          <w:rFonts w:hint="eastAsia" w:ascii="方正小标宋简体" w:hAnsi="方正小标宋简体" w:eastAsia="方正小标宋简体" w:cs="方正小标宋简体"/>
          <w:kern w:val="2"/>
          <w:sz w:val="44"/>
          <w:szCs w:val="44"/>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sz w:val="32"/>
          <w:szCs w:val="32"/>
          <w:lang w:bidi="ar-SA"/>
        </w:rPr>
        <w:t>一、部门预算单位构成</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加兴乡中心卫生院2024年预算编制包括西医门诊、藏医门诊、藏医理疗室、药房 、收费室、计免科、计妇科、输液室、医疗垃圾暂存间等11个科室。 </w:t>
      </w:r>
    </w:p>
    <w:p>
      <w:pPr>
        <w:spacing w:line="576" w:lineRule="exact"/>
        <w:ind w:firstLine="321" w:firstLineChars="100"/>
        <w:rPr>
          <w:rFonts w:ascii="宋体" w:hAnsi="宋体"/>
          <w:b/>
          <w:bCs/>
          <w:color w:val="auto"/>
          <w:kern w:val="0"/>
          <w:sz w:val="32"/>
          <w:szCs w:val="32"/>
        </w:rPr>
      </w:pPr>
      <w:r>
        <w:rPr>
          <w:rFonts w:hint="eastAsia" w:ascii="宋体" w:hAnsi="宋体"/>
          <w:b/>
          <w:bCs/>
          <w:color w:val="auto"/>
          <w:kern w:val="0"/>
          <w:sz w:val="32"/>
          <w:szCs w:val="32"/>
        </w:rPr>
        <w:t>二、部门职责和机构设置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（一）部门职责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1、负责贯彻落实卫生法律，法规和部门规章制度，以提高医疗服务质量为主题，提供服务意识，改善服务态度，转变服务作风，注重诚信服务，增进一环沟通，构建和谐医患关系，维护群众利益，保证医疗质量和安全，优化职业环境，降低医药费用，改进服务流程，改善就医环境，方便病人就医，不断提高全乡人民健康水平服务。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2、为人民群众提供较高水平的医疗服务。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3、承担保健、预防、康复、健康教育等医疗事业发展任务，起到区域性指导的职能。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4、承担每年居民健康体检，为全镇人民的身体健康提供藏西医为主的医疗与护理保健服务。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5、在卫生行政部门的领导下，负责并配合做好全县突发事件的医疗救援任务。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6、贯彻执行传染病预防和管理工作，并做好各种常见病和多发病的诊断治疗工作。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7、负责配合做好全镇卫生技术人员（村医）的教学和培训工作，负责做好医院医疗安全、护理安全、消防安全、环境安全、饮食卫生等工作。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8、以提高医疗护理质量，降低医疗费用，改善服务流程，改善就医环境，方便病人就医，树立“健康第一、患者第一”的思想，为提高全乡人民的健康水平服务，提供藏医与现代医学技术相结合的医疗服务，为广大患者提供优质的医疗服务。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9、贯彻执行党的路线、方针、政策和上级的决议，引导树立正确的政治和良好的职业道德。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10、贯彻执行党的卫生方针和中医政策，防治疾病，保障人民健康，为社会主义现代化建设服务。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11、树立患者至上，全新全意为人民服务的思想，建设符合国家标准的现代化医院。 机构设置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（二）机构设置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加兴乡中心卫生院事业编制。</w:t>
      </w:r>
    </w:p>
    <w:p>
      <w:pPr>
        <w:keepNext w:val="0"/>
        <w:keepLines w:val="0"/>
        <w:pageBreakBefore w:val="0"/>
        <w:widowControl/>
        <w:kinsoku/>
        <w:wordWrap/>
        <w:overflowPunct/>
        <w:topLinePunct w:val="0"/>
        <w:autoSpaceDE/>
        <w:autoSpaceDN/>
        <w:bidi w:val="0"/>
        <w:adjustRightInd/>
        <w:snapToGrid/>
        <w:spacing w:line="576" w:lineRule="exact"/>
        <w:ind w:left="0" w:firstLine="480" w:firstLineChars="200"/>
        <w:jc w:val="both"/>
        <w:textAlignment w:val="auto"/>
        <w:outlineLvl w:val="9"/>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firstLine="480" w:firstLineChars="200"/>
        <w:jc w:val="center"/>
        <w:textAlignment w:val="auto"/>
        <w:outlineLvl w:val="9"/>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firstLine="480" w:firstLineChars="200"/>
        <w:jc w:val="center"/>
        <w:textAlignment w:val="auto"/>
        <w:outlineLvl w:val="9"/>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firstLine="480" w:firstLineChars="200"/>
        <w:jc w:val="center"/>
        <w:textAlignment w:val="auto"/>
        <w:outlineLvl w:val="9"/>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firstLine="480" w:firstLineChars="200"/>
        <w:jc w:val="center"/>
        <w:textAlignment w:val="auto"/>
        <w:outlineLvl w:val="9"/>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firstLine="480" w:firstLineChars="200"/>
        <w:jc w:val="center"/>
        <w:textAlignment w:val="auto"/>
        <w:outlineLvl w:val="9"/>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ind w:left="0" w:firstLine="480" w:firstLineChars="200"/>
        <w:jc w:val="center"/>
        <w:textAlignment w:val="auto"/>
        <w:outlineLvl w:val="9"/>
        <w:rPr>
          <w:rFonts w:ascii="仿宋" w:hAnsi="仿宋" w:eastAsia="仿宋" w:cs="宋体"/>
          <w:kern w:val="0"/>
          <w:sz w:val="24"/>
        </w:rPr>
      </w:pPr>
    </w:p>
    <w:p>
      <w:pPr>
        <w:keepNext w:val="0"/>
        <w:keepLines w:val="0"/>
        <w:pageBreakBefore w:val="0"/>
        <w:widowControl/>
        <w:kinsoku/>
        <w:wordWrap/>
        <w:overflowPunct/>
        <w:topLinePunct w:val="0"/>
        <w:autoSpaceDE/>
        <w:autoSpaceDN/>
        <w:bidi w:val="0"/>
        <w:adjustRightInd/>
        <w:snapToGrid/>
        <w:spacing w:line="576" w:lineRule="exact"/>
        <w:jc w:val="both"/>
        <w:textAlignment w:val="auto"/>
        <w:outlineLvl w:val="9"/>
        <w:rPr>
          <w:rFonts w:ascii="仿宋" w:hAnsi="仿宋" w:eastAsia="仿宋" w:cs="宋体"/>
          <w:kern w:val="0"/>
          <w:sz w:val="24"/>
        </w:rPr>
      </w:pPr>
    </w:p>
    <w:p>
      <w:pPr>
        <w:pStyle w:val="5"/>
        <w:numPr>
          <w:ilvl w:val="0"/>
          <w:numId w:val="1"/>
        </w:numPr>
        <w:spacing w:before="0" w:beforeAutospacing="0" w:after="0" w:afterAutospacing="0" w:line="720" w:lineRule="auto"/>
        <w:ind w:left="0" w:right="0" w:firstLine="48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工布江达县加兴乡卫生院2024年度部门预算明细表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一、</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二、</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收入总表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rPr>
        <w:t>三、</w:t>
      </w:r>
      <w:r>
        <w:rPr>
          <w:rFonts w:hint="eastAsia" w:ascii="仿宋" w:hAnsi="仿宋" w:eastAsia="仿宋" w:cs="仿宋"/>
          <w:i w:val="0"/>
          <w:iCs w:val="0"/>
          <w:caps w:val="0"/>
          <w:color w:val="auto"/>
          <w:spacing w:val="0"/>
          <w:sz w:val="32"/>
          <w:szCs w:val="32"/>
          <w:shd w:val="clear" w:color="auto" w:fill="FFFFFF"/>
          <w:lang w:eastAsia="zh-CN"/>
        </w:rPr>
        <w:t>部门</w:t>
      </w:r>
      <w:r>
        <w:rPr>
          <w:rFonts w:hint="eastAsia" w:ascii="仿宋" w:hAnsi="仿宋" w:eastAsia="仿宋" w:cs="仿宋"/>
          <w:i w:val="0"/>
          <w:iCs w:val="0"/>
          <w:caps w:val="0"/>
          <w:color w:val="auto"/>
          <w:spacing w:val="0"/>
          <w:sz w:val="32"/>
          <w:szCs w:val="32"/>
          <w:shd w:val="clear" w:color="auto" w:fill="FFFFFF"/>
        </w:rPr>
        <w:t>支出总表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四、财政拨款收支总表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五、一般公共预算收支总表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六</w:t>
      </w:r>
      <w:r>
        <w:rPr>
          <w:rFonts w:hint="eastAsia" w:ascii="仿宋" w:hAnsi="仿宋" w:eastAsia="仿宋" w:cs="仿宋"/>
          <w:i w:val="0"/>
          <w:iCs w:val="0"/>
          <w:caps w:val="0"/>
          <w:color w:val="auto"/>
          <w:spacing w:val="0"/>
          <w:sz w:val="32"/>
          <w:szCs w:val="32"/>
          <w:shd w:val="clear" w:color="auto" w:fill="FFFFFF"/>
        </w:rPr>
        <w:t>、一般公共预算财政拨款支出表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shd w:val="clear" w:color="auto" w:fill="FFFFFF"/>
          <w:lang w:eastAsia="zh-CN"/>
        </w:rPr>
        <w:t>七</w:t>
      </w:r>
      <w:r>
        <w:rPr>
          <w:rFonts w:hint="eastAsia" w:ascii="仿宋" w:hAnsi="仿宋" w:eastAsia="仿宋" w:cs="仿宋"/>
          <w:i w:val="0"/>
          <w:iCs w:val="0"/>
          <w:caps w:val="0"/>
          <w:color w:val="auto"/>
          <w:spacing w:val="0"/>
          <w:sz w:val="32"/>
          <w:szCs w:val="32"/>
          <w:shd w:val="clear" w:color="auto" w:fill="FFFFFF"/>
        </w:rPr>
        <w:t>、一般公共预算财政拨款基本支出表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八</w:t>
      </w:r>
      <w:r>
        <w:rPr>
          <w:rFonts w:hint="eastAsia" w:ascii="仿宋" w:hAnsi="仿宋" w:eastAsia="仿宋" w:cs="仿宋"/>
          <w:i w:val="0"/>
          <w:iCs w:val="0"/>
          <w:caps w:val="0"/>
          <w:color w:val="auto"/>
          <w:spacing w:val="0"/>
          <w:sz w:val="32"/>
          <w:szCs w:val="32"/>
          <w:shd w:val="clear" w:color="auto" w:fill="FFFFFF"/>
        </w:rPr>
        <w:t>、一般公共预算财政拨款“三公”经费支出表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九、项目绩效目标表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十、政府购买服务预算表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十一、政府采购预算表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十二、政府性基金收支总表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十三、政府性基金收支总表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十四、政府性基金基本支出</w:t>
      </w:r>
      <w:r>
        <w:rPr>
          <w:rFonts w:hint="eastAsia" w:ascii="仿宋" w:hAnsi="仿宋" w:eastAsia="仿宋" w:cs="仿宋"/>
          <w:i w:val="0"/>
          <w:iCs w:val="0"/>
          <w:caps w:val="0"/>
          <w:color w:val="auto"/>
          <w:spacing w:val="0"/>
          <w:sz w:val="32"/>
          <w:szCs w:val="32"/>
          <w:shd w:val="clear" w:color="auto" w:fill="FFFFFF"/>
        </w:rPr>
        <w:t>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both"/>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十五、政府性基金“三公”经费支出表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十六、项目支出表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说明：本单位没有使用国有资本经营预算安排的支出，故相关明细表无数据</w:t>
      </w:r>
    </w:p>
    <w:p>
      <w:pPr>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576" w:lineRule="exact"/>
        <w:ind w:left="0" w:firstLine="880" w:firstLineChars="20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 xml:space="preserve"> 第三部分 工布江达县加兴乡卫生院2024年度部门预算分析</w:t>
      </w:r>
    </w:p>
    <w:p>
      <w:pPr>
        <w:pStyle w:val="5"/>
        <w:numPr>
          <w:ilvl w:val="0"/>
          <w:numId w:val="0"/>
        </w:numPr>
        <w:spacing w:before="0" w:beforeAutospacing="0" w:after="0" w:afterAutospacing="0" w:line="720" w:lineRule="auto"/>
        <w:ind w:left="630" w:leftChars="0"/>
        <w:rPr>
          <w:rFonts w:ascii="仿宋_GB2312" w:eastAsia="仿宋_GB2312"/>
          <w:sz w:val="32"/>
          <w:szCs w:val="32"/>
        </w:rPr>
      </w:pPr>
      <w:r>
        <w:rPr>
          <w:rFonts w:hint="eastAsia" w:ascii="黑体" w:hAnsi="黑体" w:eastAsia="黑体" w:cs="黑体"/>
          <w:b w:val="0"/>
          <w:bCs/>
          <w:color w:val="000000"/>
          <w:kern w:val="0"/>
          <w:sz w:val="32"/>
          <w:szCs w:val="32"/>
          <w:lang w:val="en-US" w:eastAsia="zh-CN" w:bidi="ar"/>
        </w:rPr>
        <w:t>一、</w:t>
      </w:r>
      <w:r>
        <w:rPr>
          <w:rFonts w:hint="eastAsia" w:ascii="宋体" w:hAnsi="宋体"/>
          <w:b/>
          <w:color w:val="auto"/>
          <w:sz w:val="32"/>
          <w:szCs w:val="32"/>
          <w:u w:val="none"/>
        </w:rPr>
        <w:t>工布江达县</w:t>
      </w:r>
      <w:r>
        <w:rPr>
          <w:rFonts w:hint="eastAsia" w:ascii="宋体" w:hAnsi="宋体"/>
          <w:b/>
          <w:color w:val="auto"/>
          <w:sz w:val="32"/>
          <w:szCs w:val="32"/>
          <w:u w:val="none"/>
          <w:lang w:eastAsia="zh-CN"/>
        </w:rPr>
        <w:t>加兴乡卫生院2024</w:t>
      </w:r>
      <w:r>
        <w:rPr>
          <w:rFonts w:hint="eastAsia" w:ascii="宋体" w:hAnsi="宋体"/>
          <w:b/>
          <w:color w:val="auto"/>
          <w:sz w:val="32"/>
          <w:szCs w:val="32"/>
          <w:u w:val="none"/>
        </w:rPr>
        <w:t>年财政拨款收支预算情况的总体说明</w:t>
      </w:r>
    </w:p>
    <w:p>
      <w:pPr>
        <w:pStyle w:val="5"/>
        <w:spacing w:before="0" w:beforeAutospacing="0" w:after="0" w:afterAutospacing="0" w:line="720" w:lineRule="auto"/>
        <w:ind w:left="319" w:leftChars="152" w:firstLine="409" w:firstLineChars="128"/>
        <w:rPr>
          <w:rFonts w:hint="eastAsia" w:ascii="仿宋_GB2312" w:eastAsia="仿宋_GB2312"/>
          <w:sz w:val="32"/>
          <w:szCs w:val="32"/>
        </w:rPr>
      </w:pPr>
      <w:r>
        <w:rPr>
          <w:rFonts w:hint="eastAsia" w:ascii="仿宋_GB2312" w:eastAsia="仿宋_GB2312"/>
          <w:sz w:val="32"/>
          <w:szCs w:val="32"/>
        </w:rPr>
        <w:t>工布江达县加兴乡卫生院</w:t>
      </w:r>
      <w:r>
        <w:rPr>
          <w:rFonts w:hint="eastAsia" w:ascii="仿宋_GB2312" w:eastAsia="仿宋_GB2312"/>
          <w:sz w:val="32"/>
          <w:szCs w:val="32"/>
          <w:lang w:eastAsia="zh-CN"/>
        </w:rPr>
        <w:t>2024</w:t>
      </w:r>
      <w:r>
        <w:rPr>
          <w:rFonts w:hint="eastAsia" w:ascii="仿宋_GB2312" w:eastAsia="仿宋_GB2312"/>
          <w:sz w:val="32"/>
          <w:szCs w:val="32"/>
        </w:rPr>
        <w:t>年度收入合计</w:t>
      </w:r>
      <w:r>
        <w:rPr>
          <w:rFonts w:hint="eastAsia" w:ascii="仿宋_GB2312" w:eastAsia="仿宋_GB2312"/>
          <w:sz w:val="32"/>
          <w:szCs w:val="32"/>
          <w:lang w:val="en-US" w:eastAsia="zh-CN"/>
        </w:rPr>
        <w:t>243.77万</w:t>
      </w:r>
      <w:r>
        <w:rPr>
          <w:rFonts w:hint="eastAsia" w:ascii="仿宋_GB2312" w:eastAsia="仿宋_GB2312"/>
          <w:sz w:val="32"/>
          <w:szCs w:val="32"/>
        </w:rPr>
        <w:t>元，比上一年增加</w:t>
      </w:r>
      <w:r>
        <w:rPr>
          <w:rFonts w:hint="eastAsia" w:ascii="仿宋_GB2312" w:eastAsia="仿宋_GB2312"/>
          <w:sz w:val="32"/>
          <w:szCs w:val="32"/>
          <w:lang w:val="en-US" w:eastAsia="zh-CN"/>
        </w:rPr>
        <w:t>26.25万</w:t>
      </w:r>
      <w:r>
        <w:rPr>
          <w:rFonts w:hint="eastAsia" w:ascii="仿宋_GB2312" w:eastAsia="仿宋_GB2312"/>
          <w:sz w:val="32"/>
          <w:szCs w:val="32"/>
        </w:rPr>
        <w:t>元，增长</w:t>
      </w:r>
      <w:r>
        <w:rPr>
          <w:rFonts w:hint="eastAsia" w:ascii="仿宋_GB2312" w:eastAsia="仿宋_GB2312"/>
          <w:sz w:val="32"/>
          <w:szCs w:val="32"/>
          <w:lang w:val="en-US" w:eastAsia="zh-CN"/>
        </w:rPr>
        <w:t>10.77</w:t>
      </w:r>
      <w:r>
        <w:rPr>
          <w:rFonts w:hint="eastAsia" w:ascii="仿宋_GB2312" w:eastAsia="仿宋_GB2312"/>
          <w:sz w:val="32"/>
          <w:szCs w:val="32"/>
        </w:rPr>
        <w:t>%；增长主要因为单位人员增加、经费增加。支出合计</w:t>
      </w:r>
      <w:r>
        <w:rPr>
          <w:rFonts w:hint="eastAsia" w:ascii="仿宋_GB2312" w:eastAsia="仿宋_GB2312"/>
          <w:sz w:val="32"/>
          <w:szCs w:val="32"/>
          <w:lang w:val="en-US" w:eastAsia="zh-CN"/>
        </w:rPr>
        <w:t>243.77万</w:t>
      </w:r>
      <w:r>
        <w:rPr>
          <w:rFonts w:hint="eastAsia" w:ascii="仿宋_GB2312" w:eastAsia="仿宋_GB2312"/>
          <w:sz w:val="32"/>
          <w:szCs w:val="32"/>
        </w:rPr>
        <w:t>元，比上一年增加</w:t>
      </w:r>
      <w:r>
        <w:rPr>
          <w:rFonts w:hint="eastAsia" w:ascii="仿宋_GB2312" w:eastAsia="仿宋_GB2312"/>
          <w:sz w:val="32"/>
          <w:szCs w:val="32"/>
          <w:lang w:val="en-US" w:eastAsia="zh-CN"/>
        </w:rPr>
        <w:t>26.25万</w:t>
      </w:r>
      <w:r>
        <w:rPr>
          <w:rFonts w:hint="eastAsia" w:ascii="仿宋_GB2312" w:eastAsia="仿宋_GB2312"/>
          <w:sz w:val="32"/>
          <w:szCs w:val="32"/>
        </w:rPr>
        <w:t>元，增长</w:t>
      </w:r>
      <w:r>
        <w:rPr>
          <w:rFonts w:hint="eastAsia" w:ascii="仿宋_GB2312" w:eastAsia="仿宋_GB2312"/>
          <w:sz w:val="32"/>
          <w:szCs w:val="32"/>
          <w:lang w:val="en-US" w:eastAsia="zh-CN"/>
        </w:rPr>
        <w:t>10.77</w:t>
      </w:r>
      <w:r>
        <w:rPr>
          <w:rFonts w:hint="eastAsia" w:ascii="仿宋_GB2312" w:eastAsia="仿宋_GB2312"/>
          <w:sz w:val="32"/>
          <w:szCs w:val="32"/>
        </w:rPr>
        <w:t>%。收入全部为一般公共预算拨款，无政府性基金预算拨款，包括：当年财政拨款收入</w:t>
      </w:r>
      <w:r>
        <w:rPr>
          <w:rFonts w:hint="eastAsia" w:ascii="仿宋_GB2312" w:eastAsia="仿宋_GB2312"/>
          <w:sz w:val="32"/>
          <w:szCs w:val="32"/>
          <w:lang w:val="en-US" w:eastAsia="zh-CN"/>
        </w:rPr>
        <w:t>243.77</w:t>
      </w:r>
      <w:r>
        <w:rPr>
          <w:rFonts w:hint="eastAsia" w:ascii="仿宋_GB2312" w:eastAsia="仿宋_GB2312"/>
          <w:sz w:val="32"/>
          <w:szCs w:val="32"/>
          <w:lang w:eastAsia="zh-CN"/>
        </w:rPr>
        <w:t>万元</w:t>
      </w:r>
      <w:r>
        <w:rPr>
          <w:rFonts w:hint="eastAsia" w:ascii="仿宋_GB2312" w:eastAsia="仿宋_GB2312"/>
          <w:sz w:val="32"/>
          <w:szCs w:val="32"/>
        </w:rPr>
        <w:t>；支出包括：社会保障和就业支出</w:t>
      </w:r>
      <w:r>
        <w:rPr>
          <w:rFonts w:hint="eastAsia" w:ascii="仿宋_GB2312" w:eastAsia="仿宋_GB2312"/>
          <w:sz w:val="32"/>
          <w:szCs w:val="32"/>
          <w:lang w:val="en-US" w:eastAsia="zh-CN"/>
        </w:rPr>
        <w:t>25.27</w:t>
      </w:r>
      <w:r>
        <w:rPr>
          <w:rFonts w:hint="eastAsia" w:ascii="仿宋_GB2312" w:eastAsia="仿宋_GB2312"/>
          <w:sz w:val="32"/>
          <w:szCs w:val="32"/>
          <w:lang w:eastAsia="zh-CN"/>
        </w:rPr>
        <w:t>万元</w:t>
      </w:r>
      <w:r>
        <w:rPr>
          <w:rFonts w:hint="eastAsia" w:ascii="仿宋_GB2312" w:eastAsia="仿宋_GB2312"/>
          <w:sz w:val="32"/>
          <w:szCs w:val="32"/>
        </w:rPr>
        <w:t>、卫生健康支出</w:t>
      </w:r>
      <w:r>
        <w:rPr>
          <w:rFonts w:hint="eastAsia" w:ascii="仿宋_GB2312" w:eastAsia="仿宋_GB2312"/>
          <w:sz w:val="32"/>
          <w:szCs w:val="32"/>
          <w:lang w:val="en-US" w:eastAsia="zh-CN"/>
        </w:rPr>
        <w:t>200.23</w:t>
      </w:r>
      <w:r>
        <w:rPr>
          <w:rFonts w:hint="eastAsia" w:ascii="仿宋_GB2312" w:eastAsia="仿宋_GB2312"/>
          <w:sz w:val="32"/>
          <w:szCs w:val="32"/>
          <w:lang w:eastAsia="zh-CN"/>
        </w:rPr>
        <w:t>万元</w:t>
      </w:r>
      <w:r>
        <w:rPr>
          <w:rFonts w:hint="eastAsia" w:ascii="仿宋_GB2312" w:eastAsia="仿宋_GB2312"/>
          <w:sz w:val="32"/>
          <w:szCs w:val="32"/>
        </w:rPr>
        <w:t>，住房保障支出</w:t>
      </w:r>
      <w:r>
        <w:rPr>
          <w:rFonts w:hint="eastAsia" w:ascii="仿宋_GB2312" w:eastAsia="仿宋_GB2312"/>
          <w:sz w:val="32"/>
          <w:szCs w:val="32"/>
          <w:lang w:val="en-US" w:eastAsia="zh-CN"/>
        </w:rPr>
        <w:t>18.27</w:t>
      </w:r>
      <w:r>
        <w:rPr>
          <w:rFonts w:hint="eastAsia" w:ascii="仿宋_GB2312" w:eastAsia="仿宋_GB2312"/>
          <w:sz w:val="32"/>
          <w:szCs w:val="32"/>
          <w:lang w:eastAsia="zh-CN"/>
        </w:rPr>
        <w:t>万元</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lang w:eastAsia="zh-CN"/>
        </w:rPr>
        <w:t>万元，比上一年预算数增加</w:t>
      </w:r>
      <w:r>
        <w:rPr>
          <w:rFonts w:hint="eastAsia" w:ascii="仿宋_GB2312" w:eastAsia="仿宋_GB2312"/>
          <w:sz w:val="32"/>
          <w:szCs w:val="32"/>
          <w:lang w:val="en-US" w:eastAsia="zh-CN"/>
        </w:rPr>
        <w:t>26.25万元。</w:t>
      </w:r>
    </w:p>
    <w:p>
      <w:pPr>
        <w:pStyle w:val="5"/>
        <w:numPr>
          <w:ilvl w:val="0"/>
          <w:numId w:val="0"/>
        </w:numPr>
        <w:spacing w:before="0" w:beforeAutospacing="0" w:after="0" w:afterAutospacing="0" w:line="720" w:lineRule="auto"/>
        <w:ind w:left="630" w:leftChars="0"/>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二、</w:t>
      </w:r>
      <w:r>
        <w:rPr>
          <w:rFonts w:hint="eastAsia" w:ascii="宋体" w:hAnsi="宋体"/>
          <w:b/>
          <w:color w:val="auto"/>
          <w:sz w:val="32"/>
          <w:szCs w:val="32"/>
          <w:u w:val="none"/>
        </w:rPr>
        <w:t>工布江达县</w:t>
      </w:r>
      <w:r>
        <w:rPr>
          <w:rFonts w:hint="eastAsia" w:ascii="宋体" w:hAnsi="宋体"/>
          <w:b/>
          <w:color w:val="auto"/>
          <w:sz w:val="32"/>
          <w:szCs w:val="32"/>
          <w:u w:val="none"/>
          <w:lang w:eastAsia="zh-CN"/>
        </w:rPr>
        <w:t>加兴乡卫生院2024</w:t>
      </w:r>
      <w:r>
        <w:rPr>
          <w:rFonts w:hint="eastAsia" w:ascii="宋体" w:hAnsi="宋体"/>
          <w:b/>
          <w:color w:val="auto"/>
          <w:sz w:val="32"/>
          <w:szCs w:val="32"/>
          <w:u w:val="none"/>
        </w:rPr>
        <w:t>年财政拨款收</w:t>
      </w:r>
      <w:r>
        <w:rPr>
          <w:rFonts w:hint="eastAsia" w:ascii="宋体" w:hAnsi="宋体"/>
          <w:b/>
          <w:color w:val="auto"/>
          <w:sz w:val="32"/>
          <w:szCs w:val="32"/>
          <w:u w:val="none"/>
          <w:lang w:eastAsia="zh-CN"/>
        </w:rPr>
        <w:t>入</w:t>
      </w:r>
      <w:r>
        <w:rPr>
          <w:rFonts w:hint="eastAsia" w:ascii="宋体" w:hAnsi="宋体"/>
          <w:b/>
          <w:color w:val="auto"/>
          <w:sz w:val="32"/>
          <w:szCs w:val="32"/>
          <w:u w:val="none"/>
        </w:rPr>
        <w:t>预算情况说明</w:t>
      </w:r>
    </w:p>
    <w:p>
      <w:pPr>
        <w:pStyle w:val="5"/>
        <w:numPr>
          <w:ilvl w:val="0"/>
          <w:numId w:val="0"/>
        </w:numPr>
        <w:spacing w:before="0" w:beforeAutospacing="0" w:after="0" w:afterAutospacing="0" w:line="720" w:lineRule="auto"/>
        <w:ind w:left="480" w:leftChars="0"/>
        <w:rPr>
          <w:rFonts w:hint="eastAsia" w:ascii="仿宋_GB2312" w:eastAsia="仿宋_GB2312"/>
          <w:sz w:val="32"/>
          <w:szCs w:val="32"/>
        </w:rPr>
      </w:pPr>
      <w:r>
        <w:rPr>
          <w:rFonts w:hint="eastAsia" w:ascii="仿宋_GB2312" w:eastAsia="仿宋_GB2312"/>
          <w:sz w:val="32"/>
          <w:szCs w:val="32"/>
        </w:rPr>
        <w:t>工布江达县加兴乡卫生院</w:t>
      </w:r>
      <w:r>
        <w:rPr>
          <w:rFonts w:hint="eastAsia" w:ascii="仿宋_GB2312" w:eastAsia="仿宋_GB2312"/>
          <w:sz w:val="32"/>
          <w:szCs w:val="32"/>
          <w:lang w:eastAsia="zh-CN"/>
        </w:rPr>
        <w:t>2024</w:t>
      </w:r>
      <w:r>
        <w:rPr>
          <w:rFonts w:hint="eastAsia" w:ascii="仿宋_GB2312" w:eastAsia="仿宋_GB2312"/>
          <w:sz w:val="32"/>
          <w:szCs w:val="32"/>
        </w:rPr>
        <w:t>年度收入合计</w:t>
      </w:r>
      <w:r>
        <w:rPr>
          <w:rFonts w:hint="eastAsia" w:ascii="仿宋_GB2312" w:eastAsia="仿宋_GB2312"/>
          <w:sz w:val="32"/>
          <w:szCs w:val="32"/>
          <w:lang w:val="en-US" w:eastAsia="zh-CN"/>
        </w:rPr>
        <w:t>243.77万</w:t>
      </w:r>
      <w:r>
        <w:rPr>
          <w:rFonts w:hint="eastAsia" w:ascii="仿宋_GB2312" w:eastAsia="仿宋_GB2312"/>
          <w:sz w:val="32"/>
          <w:szCs w:val="32"/>
        </w:rPr>
        <w:t>元，全部为财政拨款收入。增长主要原因为单位人员</w:t>
      </w:r>
      <w:r>
        <w:rPr>
          <w:rFonts w:hint="eastAsia" w:ascii="仿宋_GB2312" w:eastAsia="仿宋_GB2312"/>
          <w:sz w:val="32"/>
          <w:szCs w:val="32"/>
          <w:lang w:eastAsia="zh-CN"/>
        </w:rPr>
        <w:t>经费</w:t>
      </w:r>
      <w:r>
        <w:rPr>
          <w:rFonts w:hint="eastAsia" w:ascii="仿宋_GB2312" w:eastAsia="仿宋_GB2312"/>
          <w:sz w:val="32"/>
          <w:szCs w:val="32"/>
        </w:rPr>
        <w:t>增加。收入全部为一般公共预算拨款，无政府性基金预算拨款</w:t>
      </w:r>
      <w:r>
        <w:rPr>
          <w:rFonts w:hint="eastAsia" w:ascii="仿宋_GB2312" w:eastAsia="仿宋_GB2312"/>
          <w:sz w:val="32"/>
          <w:szCs w:val="32"/>
          <w:lang w:eastAsia="zh-CN"/>
        </w:rPr>
        <w:t>。</w:t>
      </w:r>
    </w:p>
    <w:p>
      <w:pPr>
        <w:pStyle w:val="5"/>
        <w:numPr>
          <w:ilvl w:val="0"/>
          <w:numId w:val="0"/>
        </w:numPr>
        <w:spacing w:before="0" w:beforeAutospacing="0" w:after="0" w:afterAutospacing="0" w:line="720" w:lineRule="auto"/>
        <w:ind w:left="630" w:leftChars="0"/>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三、</w:t>
      </w:r>
      <w:r>
        <w:rPr>
          <w:rFonts w:hint="eastAsia" w:ascii="宋体" w:hAnsi="宋体"/>
          <w:b/>
          <w:color w:val="auto"/>
          <w:sz w:val="32"/>
          <w:szCs w:val="32"/>
          <w:u w:val="none"/>
        </w:rPr>
        <w:t>工布江达县</w:t>
      </w:r>
      <w:r>
        <w:rPr>
          <w:rFonts w:hint="eastAsia" w:ascii="宋体" w:hAnsi="宋体"/>
          <w:b/>
          <w:color w:val="auto"/>
          <w:sz w:val="32"/>
          <w:szCs w:val="32"/>
          <w:u w:val="none"/>
          <w:lang w:eastAsia="zh-CN"/>
        </w:rPr>
        <w:t>加兴乡卫生院2024</w:t>
      </w:r>
      <w:r>
        <w:rPr>
          <w:rFonts w:hint="eastAsia" w:ascii="宋体" w:hAnsi="宋体"/>
          <w:b/>
          <w:color w:val="auto"/>
          <w:sz w:val="32"/>
          <w:szCs w:val="32"/>
          <w:u w:val="none"/>
        </w:rPr>
        <w:t>年财政拨款</w:t>
      </w:r>
      <w:r>
        <w:rPr>
          <w:rFonts w:hint="eastAsia" w:ascii="宋体" w:hAnsi="宋体"/>
          <w:b/>
          <w:color w:val="auto"/>
          <w:sz w:val="32"/>
          <w:szCs w:val="32"/>
          <w:u w:val="none"/>
          <w:lang w:eastAsia="zh-CN"/>
        </w:rPr>
        <w:t>支出</w:t>
      </w:r>
      <w:r>
        <w:rPr>
          <w:rFonts w:hint="eastAsia" w:ascii="宋体" w:hAnsi="宋体"/>
          <w:b/>
          <w:color w:val="auto"/>
          <w:sz w:val="32"/>
          <w:szCs w:val="32"/>
          <w:u w:val="none"/>
        </w:rPr>
        <w:t>预算情况说明</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default" w:ascii="仿宋_GB2312" w:eastAsia="宋体"/>
          <w:sz w:val="32"/>
          <w:szCs w:val="32"/>
          <w:lang w:val="en-US" w:eastAsia="zh-CN"/>
        </w:rPr>
      </w:pPr>
      <w:r>
        <w:rPr>
          <w:rFonts w:hint="eastAsia" w:ascii="仿宋_GB2312" w:eastAsia="仿宋_GB2312"/>
          <w:sz w:val="32"/>
          <w:szCs w:val="32"/>
        </w:rPr>
        <w:t>工布江达县加兴乡卫生院</w:t>
      </w:r>
      <w:r>
        <w:rPr>
          <w:rFonts w:hint="eastAsia" w:ascii="仿宋_GB2312" w:eastAsia="仿宋_GB2312"/>
          <w:sz w:val="32"/>
          <w:szCs w:val="32"/>
          <w:lang w:eastAsia="zh-CN"/>
        </w:rPr>
        <w:t>2024</w:t>
      </w:r>
      <w:r>
        <w:rPr>
          <w:rFonts w:hint="eastAsia" w:ascii="仿宋_GB2312" w:eastAsia="仿宋_GB2312"/>
          <w:sz w:val="32"/>
          <w:szCs w:val="32"/>
        </w:rPr>
        <w:t>年度支出合计</w:t>
      </w:r>
      <w:r>
        <w:rPr>
          <w:rFonts w:hint="eastAsia" w:ascii="仿宋_GB2312" w:eastAsia="仿宋_GB2312"/>
          <w:sz w:val="32"/>
          <w:szCs w:val="32"/>
          <w:lang w:val="en-US" w:eastAsia="zh-CN"/>
        </w:rPr>
        <w:t>243.77万</w:t>
      </w:r>
      <w:r>
        <w:rPr>
          <w:rFonts w:hint="eastAsia" w:ascii="仿宋_GB2312" w:eastAsia="仿宋_GB2312"/>
          <w:sz w:val="32"/>
          <w:szCs w:val="32"/>
        </w:rPr>
        <w:t>元，比上一年增加</w:t>
      </w:r>
      <w:r>
        <w:rPr>
          <w:rFonts w:hint="eastAsia" w:ascii="仿宋_GB2312" w:eastAsia="仿宋_GB2312"/>
          <w:sz w:val="32"/>
          <w:szCs w:val="32"/>
          <w:lang w:val="en-US" w:eastAsia="zh-CN"/>
        </w:rPr>
        <w:t>26.25万</w:t>
      </w:r>
      <w:r>
        <w:rPr>
          <w:rFonts w:hint="eastAsia" w:ascii="仿宋_GB2312" w:eastAsia="仿宋_GB2312"/>
          <w:sz w:val="32"/>
          <w:szCs w:val="32"/>
        </w:rPr>
        <w:t>元，增长</w:t>
      </w:r>
      <w:r>
        <w:rPr>
          <w:rFonts w:hint="eastAsia" w:ascii="仿宋_GB2312" w:eastAsia="仿宋_GB2312"/>
          <w:sz w:val="32"/>
          <w:szCs w:val="32"/>
          <w:lang w:val="en-US" w:eastAsia="zh-CN"/>
        </w:rPr>
        <w:t>10.77</w:t>
      </w:r>
      <w:r>
        <w:rPr>
          <w:rFonts w:hint="eastAsia" w:ascii="仿宋_GB2312" w:eastAsia="仿宋_GB2312"/>
          <w:sz w:val="32"/>
          <w:szCs w:val="32"/>
        </w:rPr>
        <w:t>%，增长主要因为人员增加、经费增加。其中：基本支出</w:t>
      </w:r>
      <w:r>
        <w:rPr>
          <w:rFonts w:hint="eastAsia" w:ascii="仿宋_GB2312" w:eastAsia="仿宋_GB2312"/>
          <w:sz w:val="32"/>
          <w:szCs w:val="32"/>
          <w:lang w:val="en-US" w:eastAsia="zh-CN"/>
        </w:rPr>
        <w:t>243.77万</w:t>
      </w:r>
      <w:r>
        <w:rPr>
          <w:rFonts w:hint="eastAsia" w:ascii="仿宋_GB2312" w:eastAsia="仿宋_GB2312"/>
          <w:sz w:val="32"/>
          <w:szCs w:val="32"/>
        </w:rPr>
        <w:t>元，占总支出的100%。按支出经济分，其中：工资福利支出</w:t>
      </w:r>
      <w:r>
        <w:rPr>
          <w:rFonts w:hint="eastAsia" w:ascii="仿宋_GB2312" w:eastAsia="仿宋_GB2312"/>
          <w:sz w:val="32"/>
          <w:szCs w:val="32"/>
          <w:lang w:val="en-US" w:eastAsia="zh-CN"/>
        </w:rPr>
        <w:t>215.23万</w:t>
      </w:r>
      <w:r>
        <w:rPr>
          <w:rFonts w:hint="eastAsia" w:ascii="仿宋_GB2312" w:eastAsia="仿宋_GB2312"/>
          <w:sz w:val="32"/>
          <w:szCs w:val="32"/>
        </w:rPr>
        <w:t>元，占总支出的</w:t>
      </w:r>
      <w:r>
        <w:rPr>
          <w:rFonts w:hint="eastAsia" w:ascii="仿宋_GB2312" w:eastAsia="仿宋_GB2312"/>
          <w:sz w:val="32"/>
          <w:szCs w:val="32"/>
          <w:lang w:val="en-US" w:eastAsia="zh-CN"/>
        </w:rPr>
        <w:t>88.29</w:t>
      </w:r>
      <w:r>
        <w:rPr>
          <w:rFonts w:hint="eastAsia" w:ascii="仿宋_GB2312" w:eastAsia="仿宋_GB2312"/>
          <w:sz w:val="32"/>
          <w:szCs w:val="32"/>
        </w:rPr>
        <w:t>%；商品和服务支出</w:t>
      </w:r>
      <w:r>
        <w:rPr>
          <w:rFonts w:hint="eastAsia" w:ascii="仿宋_GB2312" w:eastAsia="仿宋_GB2312"/>
          <w:sz w:val="32"/>
          <w:szCs w:val="32"/>
          <w:lang w:val="en-US" w:eastAsia="zh-CN"/>
        </w:rPr>
        <w:t>15.05万</w:t>
      </w:r>
      <w:r>
        <w:rPr>
          <w:rFonts w:hint="eastAsia" w:ascii="仿宋_GB2312" w:eastAsia="仿宋_GB2312"/>
          <w:sz w:val="32"/>
          <w:szCs w:val="32"/>
        </w:rPr>
        <w:t>元，占总支出的</w:t>
      </w:r>
      <w:r>
        <w:rPr>
          <w:rFonts w:hint="eastAsia" w:ascii="仿宋_GB2312" w:eastAsia="仿宋_GB2312"/>
          <w:sz w:val="32"/>
          <w:szCs w:val="32"/>
          <w:lang w:val="en-US" w:eastAsia="zh-CN"/>
        </w:rPr>
        <w:t>6.17</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宋体" w:hAnsi="宋体"/>
          <w:color w:val="auto"/>
          <w:sz w:val="32"/>
          <w:szCs w:val="32"/>
          <w:u w:val="none"/>
        </w:rPr>
        <w:t>项目支出</w:t>
      </w:r>
      <w:r>
        <w:rPr>
          <w:rFonts w:hint="eastAsia" w:ascii="宋体" w:hAnsi="宋体"/>
          <w:color w:val="auto"/>
          <w:sz w:val="32"/>
          <w:szCs w:val="32"/>
          <w:u w:val="none"/>
          <w:lang w:val="en-US" w:eastAsia="zh-CN"/>
        </w:rPr>
        <w:t>13.49</w:t>
      </w:r>
      <w:r>
        <w:rPr>
          <w:rFonts w:hint="eastAsia" w:ascii="宋体" w:hAnsi="宋体" w:eastAsia="宋体"/>
          <w:color w:val="auto"/>
          <w:sz w:val="32"/>
          <w:szCs w:val="32"/>
          <w:u w:val="none"/>
          <w:lang w:eastAsia="zh-CN"/>
        </w:rPr>
        <w:t>万元</w:t>
      </w:r>
      <w:r>
        <w:rPr>
          <w:rFonts w:hint="eastAsia" w:ascii="宋体" w:hAnsi="宋体" w:eastAsia="宋体"/>
          <w:color w:val="auto"/>
          <w:sz w:val="32"/>
          <w:szCs w:val="32"/>
          <w:u w:val="none"/>
          <w:lang w:val="en-US" w:eastAsia="zh-CN"/>
        </w:rPr>
        <w:t>,占总支出的5.54%。</w:t>
      </w:r>
    </w:p>
    <w:p>
      <w:pPr>
        <w:pStyle w:val="5"/>
        <w:numPr>
          <w:ilvl w:val="0"/>
          <w:numId w:val="0"/>
        </w:numPr>
        <w:spacing w:before="0" w:beforeAutospacing="0" w:after="0" w:afterAutospacing="0" w:line="720" w:lineRule="auto"/>
        <w:ind w:left="630" w:leftChars="0"/>
        <w:rPr>
          <w:rFonts w:hint="default" w:ascii="宋体" w:hAnsi="宋体"/>
          <w:b/>
          <w:color w:val="auto"/>
          <w:sz w:val="32"/>
          <w:szCs w:val="32"/>
          <w:u w:val="none"/>
        </w:rPr>
      </w:pPr>
      <w:r>
        <w:rPr>
          <w:rFonts w:hint="eastAsia" w:ascii="黑体" w:hAnsi="黑体" w:eastAsia="黑体" w:cs="黑体"/>
          <w:b w:val="0"/>
          <w:bCs/>
          <w:color w:val="000000"/>
          <w:kern w:val="0"/>
          <w:sz w:val="32"/>
          <w:szCs w:val="32"/>
          <w:lang w:val="en-US" w:eastAsia="zh-CN" w:bidi="ar"/>
        </w:rPr>
        <w:t>四、</w:t>
      </w:r>
      <w:r>
        <w:rPr>
          <w:rFonts w:hint="eastAsia" w:ascii="宋体" w:hAnsi="宋体"/>
          <w:b/>
          <w:color w:val="auto"/>
          <w:sz w:val="32"/>
          <w:szCs w:val="32"/>
          <w:u w:val="none"/>
        </w:rPr>
        <w:t>一般公共预算财政拨款收入支出总体情况说明</w:t>
      </w:r>
    </w:p>
    <w:p>
      <w:pPr>
        <w:pStyle w:val="5"/>
        <w:spacing w:before="0" w:beforeAutospacing="0" w:after="0" w:afterAutospacing="0" w:line="720" w:lineRule="auto"/>
        <w:ind w:firstLine="480"/>
        <w:rPr>
          <w:rFonts w:hint="eastAsia" w:ascii="仿宋_GB2312" w:eastAsia="仿宋_GB2312"/>
          <w:sz w:val="32"/>
          <w:szCs w:val="32"/>
        </w:rPr>
      </w:pPr>
      <w:r>
        <w:rPr>
          <w:rFonts w:hint="eastAsia" w:ascii="仿宋_GB2312" w:eastAsia="仿宋_GB2312"/>
          <w:sz w:val="32"/>
          <w:szCs w:val="32"/>
        </w:rPr>
        <w:t>工布江达县加兴乡卫生院</w:t>
      </w:r>
      <w:r>
        <w:rPr>
          <w:rFonts w:hint="eastAsia" w:ascii="仿宋_GB2312" w:eastAsia="仿宋_GB2312"/>
          <w:sz w:val="32"/>
          <w:szCs w:val="32"/>
          <w:lang w:eastAsia="zh-CN"/>
        </w:rPr>
        <w:t>2024</w:t>
      </w:r>
      <w:r>
        <w:rPr>
          <w:rFonts w:hint="eastAsia" w:ascii="仿宋_GB2312" w:eastAsia="仿宋_GB2312"/>
          <w:sz w:val="32"/>
          <w:szCs w:val="32"/>
        </w:rPr>
        <w:t>年度一般公共预算财政拨款收入合计</w:t>
      </w:r>
      <w:r>
        <w:rPr>
          <w:rFonts w:hint="eastAsia" w:ascii="仿宋_GB2312" w:eastAsia="仿宋_GB2312"/>
          <w:sz w:val="32"/>
          <w:szCs w:val="32"/>
          <w:lang w:val="en-US" w:eastAsia="zh-CN"/>
        </w:rPr>
        <w:t>243.77万</w:t>
      </w:r>
      <w:r>
        <w:rPr>
          <w:rFonts w:hint="eastAsia" w:ascii="仿宋_GB2312" w:eastAsia="仿宋_GB2312"/>
          <w:sz w:val="32"/>
          <w:szCs w:val="32"/>
        </w:rPr>
        <w:t>元，比上一年增加</w:t>
      </w:r>
      <w:r>
        <w:rPr>
          <w:rFonts w:hint="eastAsia" w:ascii="仿宋_GB2312" w:eastAsia="仿宋_GB2312"/>
          <w:sz w:val="32"/>
          <w:szCs w:val="32"/>
          <w:lang w:val="en-US" w:eastAsia="zh-CN"/>
        </w:rPr>
        <w:t>26.25万</w:t>
      </w:r>
      <w:r>
        <w:rPr>
          <w:rFonts w:hint="eastAsia" w:ascii="仿宋_GB2312" w:eastAsia="仿宋_GB2312"/>
          <w:sz w:val="32"/>
          <w:szCs w:val="32"/>
        </w:rPr>
        <w:t>元，增长</w:t>
      </w:r>
      <w:r>
        <w:rPr>
          <w:rFonts w:hint="eastAsia" w:ascii="仿宋_GB2312" w:eastAsia="仿宋_GB2312"/>
          <w:sz w:val="32"/>
          <w:szCs w:val="32"/>
          <w:lang w:val="en-US" w:eastAsia="zh-CN"/>
        </w:rPr>
        <w:t>10.77</w:t>
      </w:r>
      <w:r>
        <w:rPr>
          <w:rFonts w:hint="eastAsia" w:ascii="仿宋_GB2312" w:eastAsia="仿宋_GB2312"/>
          <w:sz w:val="32"/>
          <w:szCs w:val="32"/>
        </w:rPr>
        <w:t>%，增长主要因为单位人员增加、经费增加。一般公共预算财政拨款支出合计</w:t>
      </w:r>
      <w:r>
        <w:rPr>
          <w:rFonts w:hint="eastAsia" w:ascii="仿宋_GB2312" w:eastAsia="仿宋_GB2312"/>
          <w:sz w:val="32"/>
          <w:szCs w:val="32"/>
          <w:lang w:val="en-US" w:eastAsia="zh-CN"/>
        </w:rPr>
        <w:t>243.77万</w:t>
      </w:r>
      <w:r>
        <w:rPr>
          <w:rFonts w:hint="eastAsia" w:ascii="仿宋_GB2312" w:eastAsia="仿宋_GB2312"/>
          <w:sz w:val="32"/>
          <w:szCs w:val="32"/>
        </w:rPr>
        <w:t>元，比上一年增加</w:t>
      </w:r>
      <w:r>
        <w:rPr>
          <w:rFonts w:hint="eastAsia" w:ascii="仿宋_GB2312" w:eastAsia="仿宋_GB2312"/>
          <w:sz w:val="32"/>
          <w:szCs w:val="32"/>
          <w:lang w:val="en-US" w:eastAsia="zh-CN"/>
        </w:rPr>
        <w:t>26.25万</w:t>
      </w:r>
      <w:r>
        <w:rPr>
          <w:rFonts w:hint="eastAsia" w:ascii="仿宋_GB2312" w:eastAsia="仿宋_GB2312"/>
          <w:sz w:val="32"/>
          <w:szCs w:val="32"/>
        </w:rPr>
        <w:t>元，增长</w:t>
      </w:r>
      <w:r>
        <w:rPr>
          <w:rFonts w:hint="eastAsia" w:ascii="仿宋_GB2312" w:eastAsia="仿宋_GB2312"/>
          <w:sz w:val="32"/>
          <w:szCs w:val="32"/>
          <w:lang w:val="en-US" w:eastAsia="zh-CN"/>
        </w:rPr>
        <w:t>10.77</w:t>
      </w:r>
      <w:r>
        <w:rPr>
          <w:rFonts w:hint="eastAsia" w:ascii="仿宋_GB2312" w:eastAsia="仿宋_GB2312"/>
          <w:sz w:val="32"/>
          <w:szCs w:val="32"/>
        </w:rPr>
        <w:t>%，增长主要因为人员增加、经费增加。按照综合预算的原则，工布江达县</w:t>
      </w:r>
      <w:r>
        <w:rPr>
          <w:rFonts w:hint="eastAsia" w:ascii="仿宋_GB2312" w:eastAsia="仿宋_GB2312"/>
          <w:sz w:val="32"/>
          <w:szCs w:val="32"/>
          <w:lang w:eastAsia="zh-CN"/>
        </w:rPr>
        <w:t>加兴乡卫生院</w:t>
      </w:r>
      <w:r>
        <w:rPr>
          <w:rFonts w:hint="eastAsia" w:ascii="仿宋_GB2312" w:eastAsia="仿宋_GB2312"/>
          <w:sz w:val="32"/>
          <w:szCs w:val="32"/>
        </w:rPr>
        <w:t>所有收入和支出总预均纳入部门预算管理。工布江达县</w:t>
      </w:r>
      <w:r>
        <w:rPr>
          <w:rFonts w:hint="eastAsia" w:ascii="仿宋_GB2312" w:eastAsia="仿宋_GB2312"/>
          <w:sz w:val="32"/>
          <w:szCs w:val="32"/>
          <w:lang w:eastAsia="zh-CN"/>
        </w:rPr>
        <w:t>加兴乡卫生院2024</w:t>
      </w:r>
      <w:r>
        <w:rPr>
          <w:rFonts w:hint="eastAsia" w:ascii="仿宋_GB2312" w:eastAsia="仿宋_GB2312"/>
          <w:sz w:val="32"/>
          <w:szCs w:val="32"/>
        </w:rPr>
        <w:t>年收支总预算</w:t>
      </w:r>
      <w:r>
        <w:rPr>
          <w:rFonts w:hint="eastAsia" w:ascii="仿宋_GB2312" w:eastAsia="仿宋_GB2312"/>
          <w:sz w:val="32"/>
          <w:szCs w:val="32"/>
          <w:lang w:val="en-US" w:eastAsia="zh-CN"/>
        </w:rPr>
        <w:t>243.77</w:t>
      </w:r>
      <w:r>
        <w:rPr>
          <w:rFonts w:hint="eastAsia" w:ascii="仿宋_GB2312" w:eastAsia="仿宋_GB2312"/>
          <w:sz w:val="32"/>
          <w:szCs w:val="32"/>
          <w:lang w:eastAsia="zh-CN"/>
        </w:rPr>
        <w:t>万元</w:t>
      </w:r>
      <w:r>
        <w:rPr>
          <w:rFonts w:hint="eastAsia" w:ascii="仿宋_GB2312" w:eastAsia="仿宋_GB2312"/>
          <w:sz w:val="32"/>
          <w:szCs w:val="32"/>
        </w:rPr>
        <w:t>，收支平衡。</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五、2024年度一般公共预算财政拨款支出情况说明</w:t>
      </w:r>
    </w:p>
    <w:p>
      <w:pPr>
        <w:pStyle w:val="5"/>
        <w:spacing w:before="0" w:beforeAutospacing="0" w:after="0" w:afterAutospacing="0" w:line="720" w:lineRule="auto"/>
        <w:ind w:firstLine="321" w:firstLineChars="100"/>
        <w:rPr>
          <w:rFonts w:hint="eastAsia" w:ascii="宋体" w:hAnsi="宋体"/>
          <w:b/>
          <w:color w:val="auto"/>
          <w:sz w:val="32"/>
          <w:szCs w:val="32"/>
          <w:u w:val="none"/>
        </w:rPr>
      </w:pPr>
      <w:r>
        <w:rPr>
          <w:rFonts w:hint="eastAsia" w:ascii="宋体" w:hAnsi="宋体"/>
          <w:b/>
          <w:color w:val="auto"/>
          <w:sz w:val="32"/>
          <w:szCs w:val="32"/>
          <w:u w:val="none"/>
        </w:rPr>
        <w:t>（一）一般公共预算当年财政预算拨款变化情况</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kern w:val="0"/>
          <w:sz w:val="32"/>
          <w:szCs w:val="32"/>
        </w:rPr>
      </w:pPr>
      <w:r>
        <w:rPr>
          <w:rFonts w:hint="eastAsia" w:ascii="仿宋_GB2312" w:eastAsia="仿宋_GB2312"/>
          <w:kern w:val="0"/>
          <w:sz w:val="32"/>
          <w:szCs w:val="32"/>
        </w:rPr>
        <w:t>工布江达县加兴乡卫生院</w:t>
      </w:r>
      <w:r>
        <w:rPr>
          <w:rFonts w:hint="eastAsia" w:ascii="仿宋_GB2312" w:eastAsia="仿宋_GB2312"/>
          <w:kern w:val="0"/>
          <w:sz w:val="32"/>
          <w:szCs w:val="32"/>
          <w:lang w:eastAsia="zh-CN"/>
        </w:rPr>
        <w:t>2024</w:t>
      </w:r>
      <w:r>
        <w:rPr>
          <w:rFonts w:hint="eastAsia" w:ascii="仿宋_GB2312" w:eastAsia="仿宋_GB2312"/>
          <w:kern w:val="0"/>
          <w:sz w:val="32"/>
          <w:szCs w:val="32"/>
        </w:rPr>
        <w:t>年度一般公共预算财政拨款支出</w:t>
      </w:r>
      <w:r>
        <w:rPr>
          <w:rFonts w:hint="eastAsia" w:ascii="仿宋_GB2312" w:eastAsia="仿宋_GB2312"/>
          <w:sz w:val="32"/>
          <w:szCs w:val="32"/>
          <w:lang w:val="en-US" w:eastAsia="zh-CN"/>
        </w:rPr>
        <w:t>243.77万</w:t>
      </w:r>
      <w:r>
        <w:rPr>
          <w:rFonts w:hint="eastAsia" w:ascii="仿宋_GB2312" w:eastAsia="仿宋_GB2312"/>
          <w:sz w:val="32"/>
          <w:szCs w:val="32"/>
        </w:rPr>
        <w:t>元</w:t>
      </w:r>
      <w:r>
        <w:rPr>
          <w:rFonts w:hint="eastAsia" w:ascii="仿宋_GB2312" w:eastAsia="仿宋_GB2312"/>
          <w:kern w:val="0"/>
          <w:sz w:val="32"/>
          <w:szCs w:val="32"/>
        </w:rPr>
        <w:t>，主要用于以下方面:社会保障和就业支出</w:t>
      </w:r>
      <w:r>
        <w:rPr>
          <w:rFonts w:hint="eastAsia" w:ascii="仿宋_GB2312" w:eastAsia="仿宋_GB2312"/>
          <w:kern w:val="0"/>
          <w:sz w:val="32"/>
          <w:szCs w:val="32"/>
          <w:lang w:val="en-US" w:eastAsia="zh-CN"/>
        </w:rPr>
        <w:t>25.27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，占总支出的</w:t>
      </w:r>
      <w:r>
        <w:rPr>
          <w:rFonts w:hint="eastAsia" w:ascii="仿宋_GB2312" w:eastAsia="仿宋_GB2312"/>
          <w:kern w:val="0"/>
          <w:sz w:val="32"/>
          <w:szCs w:val="32"/>
          <w:lang w:val="en-US" w:eastAsia="zh-CN"/>
        </w:rPr>
        <w:t>10.37</w:t>
      </w:r>
      <w:r>
        <w:rPr>
          <w:rFonts w:hint="eastAsia" w:ascii="仿宋_GB2312" w:eastAsia="仿宋_GB2312"/>
          <w:kern w:val="0"/>
          <w:sz w:val="32"/>
          <w:szCs w:val="32"/>
        </w:rPr>
        <w:t>%；卫生健康支出</w:t>
      </w:r>
      <w:r>
        <w:rPr>
          <w:rFonts w:hint="eastAsia" w:ascii="仿宋_GB2312" w:eastAsia="仿宋_GB2312"/>
          <w:kern w:val="0"/>
          <w:sz w:val="32"/>
          <w:szCs w:val="32"/>
          <w:lang w:val="en-US" w:eastAsia="zh-CN"/>
        </w:rPr>
        <w:t>200.23</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，占总支出的</w:t>
      </w:r>
      <w:r>
        <w:rPr>
          <w:rFonts w:hint="eastAsia" w:ascii="仿宋_GB2312" w:eastAsia="仿宋_GB2312"/>
          <w:kern w:val="0"/>
          <w:sz w:val="32"/>
          <w:szCs w:val="32"/>
          <w:lang w:val="en-US" w:eastAsia="zh-CN"/>
        </w:rPr>
        <w:t>82.14</w:t>
      </w:r>
      <w:r>
        <w:rPr>
          <w:rFonts w:hint="eastAsia" w:ascii="仿宋_GB2312" w:eastAsia="仿宋_GB2312"/>
          <w:kern w:val="0"/>
          <w:sz w:val="32"/>
          <w:szCs w:val="32"/>
        </w:rPr>
        <w:t>%；住房保障支出</w:t>
      </w:r>
      <w:r>
        <w:rPr>
          <w:rFonts w:hint="eastAsia" w:ascii="仿宋_GB2312" w:eastAsia="仿宋_GB2312"/>
          <w:kern w:val="0"/>
          <w:sz w:val="32"/>
          <w:szCs w:val="32"/>
          <w:lang w:val="en-US" w:eastAsia="zh-CN"/>
        </w:rPr>
        <w:t>18.27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，占总支出的</w:t>
      </w:r>
      <w:r>
        <w:rPr>
          <w:rFonts w:hint="eastAsia" w:ascii="仿宋_GB2312" w:eastAsia="仿宋_GB2312"/>
          <w:kern w:val="0"/>
          <w:sz w:val="32"/>
          <w:szCs w:val="32"/>
          <w:lang w:val="en-US" w:eastAsia="zh-CN"/>
        </w:rPr>
        <w:t>7.49</w:t>
      </w:r>
      <w:r>
        <w:rPr>
          <w:rFonts w:hint="eastAsia" w:ascii="仿宋_GB2312" w:eastAsia="仿宋_GB2312"/>
          <w:kern w:val="0"/>
          <w:sz w:val="32"/>
          <w:szCs w:val="32"/>
        </w:rPr>
        <w:t>%。</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rPr>
        <w:t>（二）一般公共预算当年财政预算拨款结构情况</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eastAsia="仿宋_GB2312" w:cs="Times New Roman" w:hAnsiTheme="minorHAnsi"/>
          <w:kern w:val="0"/>
          <w:sz w:val="32"/>
          <w:szCs w:val="32"/>
          <w:lang w:val="en-US" w:eastAsia="zh-CN" w:bidi="ar-SA"/>
        </w:rPr>
      </w:pPr>
      <w:r>
        <w:rPr>
          <w:rFonts w:hint="eastAsia" w:ascii="仿宋_GB2312" w:eastAsia="仿宋_GB2312" w:cs="Times New Roman" w:hAnsiTheme="minorHAnsi"/>
          <w:kern w:val="0"/>
          <w:sz w:val="32"/>
          <w:szCs w:val="32"/>
          <w:lang w:val="en-US" w:eastAsia="zh-CN" w:bidi="ar-SA"/>
        </w:rPr>
        <w:t>基本支出</w:t>
      </w:r>
      <w:r>
        <w:rPr>
          <w:rFonts w:hint="eastAsia" w:ascii="仿宋_GB2312" w:eastAsia="仿宋_GB2312" w:cs="Times New Roman"/>
          <w:kern w:val="0"/>
          <w:sz w:val="32"/>
          <w:szCs w:val="32"/>
          <w:lang w:val="en-US" w:eastAsia="zh-CN" w:bidi="ar-SA"/>
        </w:rPr>
        <w:t>243.77</w:t>
      </w:r>
      <w:r>
        <w:rPr>
          <w:rFonts w:hint="eastAsia" w:ascii="仿宋_GB2312" w:eastAsia="仿宋_GB2312" w:cs="Times New Roman" w:hAnsiTheme="minorHAnsi"/>
          <w:kern w:val="0"/>
          <w:sz w:val="32"/>
          <w:szCs w:val="32"/>
          <w:lang w:val="en-US" w:eastAsia="zh-CN" w:bidi="ar-SA"/>
        </w:rPr>
        <w:t>万元，占财政预算拨款的100%，其中：工资福利支出</w:t>
      </w:r>
      <w:r>
        <w:rPr>
          <w:rFonts w:hint="eastAsia" w:ascii="仿宋_GB2312" w:eastAsia="仿宋_GB2312" w:cs="Times New Roman"/>
          <w:kern w:val="0"/>
          <w:sz w:val="32"/>
          <w:szCs w:val="32"/>
          <w:lang w:val="en-US" w:eastAsia="zh-CN" w:bidi="ar-SA"/>
        </w:rPr>
        <w:t>215.23</w:t>
      </w:r>
      <w:r>
        <w:rPr>
          <w:rFonts w:hint="eastAsia" w:ascii="仿宋_GB2312" w:eastAsia="仿宋_GB2312" w:cs="Times New Roman" w:hAnsiTheme="minorHAnsi"/>
          <w:kern w:val="0"/>
          <w:sz w:val="32"/>
          <w:szCs w:val="32"/>
          <w:lang w:val="en-US" w:eastAsia="zh-CN" w:bidi="ar-SA"/>
        </w:rPr>
        <w:t>万元，占基本支出财政预算拨款的</w:t>
      </w:r>
      <w:r>
        <w:rPr>
          <w:rFonts w:hint="eastAsia" w:ascii="仿宋_GB2312" w:eastAsia="仿宋_GB2312" w:cs="Times New Roman"/>
          <w:kern w:val="0"/>
          <w:sz w:val="32"/>
          <w:szCs w:val="32"/>
          <w:lang w:val="en-US" w:eastAsia="zh-CN" w:bidi="ar-SA"/>
        </w:rPr>
        <w:t>88.29</w:t>
      </w:r>
      <w:r>
        <w:rPr>
          <w:rFonts w:hint="eastAsia" w:ascii="仿宋_GB2312" w:eastAsia="仿宋_GB2312" w:cs="Times New Roman" w:hAnsiTheme="minorHAnsi"/>
          <w:kern w:val="0"/>
          <w:sz w:val="32"/>
          <w:szCs w:val="32"/>
          <w:lang w:val="en-US" w:eastAsia="zh-CN" w:bidi="ar-SA"/>
        </w:rPr>
        <w:t>%；商品和服务支出</w:t>
      </w:r>
      <w:r>
        <w:rPr>
          <w:rFonts w:hint="eastAsia" w:ascii="仿宋_GB2312" w:eastAsia="仿宋_GB2312" w:cs="Times New Roman"/>
          <w:kern w:val="0"/>
          <w:sz w:val="32"/>
          <w:szCs w:val="32"/>
          <w:lang w:val="en-US" w:eastAsia="zh-CN" w:bidi="ar-SA"/>
        </w:rPr>
        <w:t>15.05</w:t>
      </w:r>
      <w:r>
        <w:rPr>
          <w:rFonts w:hint="eastAsia" w:ascii="仿宋_GB2312" w:eastAsia="仿宋_GB2312" w:cs="Times New Roman" w:hAnsiTheme="minorHAnsi"/>
          <w:kern w:val="0"/>
          <w:sz w:val="32"/>
          <w:szCs w:val="32"/>
          <w:lang w:val="en-US" w:eastAsia="zh-CN" w:bidi="ar-SA"/>
        </w:rPr>
        <w:t>万元，占基本支出财政预算拨款的</w:t>
      </w:r>
      <w:r>
        <w:rPr>
          <w:rFonts w:hint="eastAsia" w:ascii="仿宋_GB2312" w:eastAsia="仿宋_GB2312" w:cs="Times New Roman"/>
          <w:kern w:val="0"/>
          <w:sz w:val="32"/>
          <w:szCs w:val="32"/>
          <w:lang w:val="en-US" w:eastAsia="zh-CN" w:bidi="ar-SA"/>
        </w:rPr>
        <w:t>6.17</w:t>
      </w:r>
      <w:r>
        <w:rPr>
          <w:rFonts w:hint="eastAsia" w:ascii="仿宋_GB2312" w:eastAsia="仿宋_GB2312" w:cs="Times New Roman" w:hAnsiTheme="minorHAnsi"/>
          <w:kern w:val="0"/>
          <w:sz w:val="32"/>
          <w:szCs w:val="32"/>
          <w:lang w:val="en-US" w:eastAsia="zh-CN" w:bidi="ar-SA"/>
        </w:rPr>
        <w:t>%。</w:t>
      </w:r>
      <w:r>
        <w:rPr>
          <w:rFonts w:hint="eastAsia" w:ascii="宋体" w:hAnsi="宋体"/>
          <w:color w:val="auto"/>
          <w:sz w:val="32"/>
          <w:szCs w:val="32"/>
          <w:u w:val="none"/>
        </w:rPr>
        <w:t>项目支出</w:t>
      </w:r>
      <w:r>
        <w:rPr>
          <w:rFonts w:hint="eastAsia" w:ascii="宋体" w:hAnsi="宋体"/>
          <w:color w:val="auto"/>
          <w:sz w:val="32"/>
          <w:szCs w:val="32"/>
          <w:u w:val="none"/>
          <w:lang w:val="en-US" w:eastAsia="zh-CN"/>
        </w:rPr>
        <w:t>13.49</w:t>
      </w:r>
      <w:r>
        <w:rPr>
          <w:rFonts w:hint="eastAsia" w:ascii="宋体" w:hAnsi="宋体" w:eastAsia="宋体"/>
          <w:color w:val="auto"/>
          <w:sz w:val="32"/>
          <w:szCs w:val="32"/>
          <w:u w:val="none"/>
          <w:lang w:eastAsia="zh-CN"/>
        </w:rPr>
        <w:t>万元</w:t>
      </w:r>
      <w:r>
        <w:rPr>
          <w:rFonts w:hint="eastAsia" w:ascii="宋体" w:hAnsi="宋体" w:eastAsia="宋体"/>
          <w:color w:val="auto"/>
          <w:sz w:val="32"/>
          <w:szCs w:val="32"/>
          <w:u w:val="none"/>
          <w:lang w:val="en-US" w:eastAsia="zh-CN"/>
        </w:rPr>
        <w:t>,占</w:t>
      </w:r>
      <w:r>
        <w:rPr>
          <w:rFonts w:hint="eastAsia" w:ascii="仿宋_GB2312" w:eastAsia="仿宋_GB2312" w:cs="Times New Roman" w:hAnsiTheme="minorHAnsi"/>
          <w:kern w:val="0"/>
          <w:sz w:val="32"/>
          <w:szCs w:val="32"/>
          <w:lang w:val="en-US" w:eastAsia="zh-CN" w:bidi="ar-SA"/>
        </w:rPr>
        <w:t>基本支出财政预算拨款</w:t>
      </w:r>
      <w:r>
        <w:rPr>
          <w:rFonts w:hint="eastAsia" w:ascii="宋体" w:hAnsi="宋体" w:eastAsia="宋体"/>
          <w:color w:val="auto"/>
          <w:sz w:val="32"/>
          <w:szCs w:val="32"/>
          <w:u w:val="none"/>
          <w:lang w:val="en-US" w:eastAsia="zh-CN"/>
        </w:rPr>
        <w:t>的5.54%。</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rPr>
        <w:t>（三）一般公共预算当年财政预算拨款具体情况</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eastAsia="仿宋_GB2312"/>
          <w:kern w:val="0"/>
          <w:sz w:val="32"/>
          <w:szCs w:val="32"/>
        </w:rPr>
      </w:pPr>
      <w:r>
        <w:rPr>
          <w:rFonts w:hint="eastAsia" w:ascii="仿宋_GB2312" w:eastAsia="仿宋_GB2312"/>
          <w:b/>
          <w:kern w:val="0"/>
          <w:sz w:val="32"/>
          <w:szCs w:val="32"/>
        </w:rPr>
        <w:t>（一）社会保障和就业支出（类）</w:t>
      </w:r>
      <w:r>
        <w:rPr>
          <w:rFonts w:hint="eastAsia" w:ascii="仿宋_GB2312" w:eastAsia="仿宋_GB2312"/>
          <w:kern w:val="0"/>
          <w:sz w:val="32"/>
          <w:szCs w:val="32"/>
        </w:rPr>
        <w:t>支出</w:t>
      </w:r>
      <w:r>
        <w:rPr>
          <w:rFonts w:hint="eastAsia" w:ascii="仿宋_GB2312" w:eastAsia="仿宋_GB2312"/>
          <w:kern w:val="0"/>
          <w:sz w:val="32"/>
          <w:szCs w:val="32"/>
          <w:lang w:val="en-US" w:eastAsia="zh-CN"/>
        </w:rPr>
        <w:t>25.27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，比</w:t>
      </w:r>
      <w:r>
        <w:rPr>
          <w:rFonts w:hint="eastAsia" w:ascii="仿宋_GB2312" w:eastAsia="仿宋_GB2312"/>
          <w:kern w:val="0"/>
          <w:sz w:val="32"/>
          <w:szCs w:val="32"/>
          <w:lang w:eastAsia="zh-CN"/>
        </w:rPr>
        <w:t>上一</w:t>
      </w:r>
      <w:r>
        <w:rPr>
          <w:rFonts w:hint="eastAsia" w:ascii="仿宋_GB2312" w:eastAsia="仿宋_GB2312"/>
          <w:kern w:val="0"/>
          <w:sz w:val="32"/>
          <w:szCs w:val="32"/>
        </w:rPr>
        <w:t>年年初预算数</w:t>
      </w:r>
      <w:r>
        <w:rPr>
          <w:rFonts w:hint="eastAsia" w:ascii="仿宋_GB2312" w:eastAsia="仿宋_GB2312"/>
          <w:kern w:val="0"/>
          <w:sz w:val="32"/>
          <w:szCs w:val="32"/>
          <w:lang w:val="en-US" w:eastAsia="zh-CN"/>
        </w:rPr>
        <w:t>19.11</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增加</w:t>
      </w:r>
      <w:r>
        <w:rPr>
          <w:rFonts w:hint="eastAsia" w:ascii="仿宋_GB2312" w:eastAsia="仿宋_GB2312"/>
          <w:kern w:val="0"/>
          <w:sz w:val="32"/>
          <w:szCs w:val="32"/>
          <w:lang w:val="en-US" w:eastAsia="zh-CN"/>
        </w:rPr>
        <w:t>6.16</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w:t>
      </w:r>
      <w:r>
        <w:rPr>
          <w:rFonts w:hint="eastAsia" w:ascii="仿宋_GB2312" w:eastAsia="仿宋_GB2312"/>
          <w:color w:val="000000" w:themeColor="text1"/>
          <w:kern w:val="0"/>
          <w:sz w:val="32"/>
          <w:szCs w:val="32"/>
          <w:lang w:eastAsia="zh-CN"/>
        </w:rPr>
        <w:t>增长</w:t>
      </w:r>
      <w:r>
        <w:rPr>
          <w:rFonts w:hint="eastAsia" w:ascii="仿宋_GB2312" w:eastAsia="仿宋_GB2312"/>
          <w:color w:val="000000" w:themeColor="text1"/>
          <w:kern w:val="0"/>
          <w:sz w:val="32"/>
          <w:szCs w:val="32"/>
          <w:lang w:val="en-US" w:eastAsia="zh-CN"/>
        </w:rPr>
        <w:t>24.38</w:t>
      </w:r>
      <w:r>
        <w:rPr>
          <w:rFonts w:hint="eastAsia" w:ascii="仿宋_GB2312" w:eastAsia="仿宋_GB2312"/>
          <w:color w:val="000000" w:themeColor="text1"/>
          <w:kern w:val="0"/>
          <w:sz w:val="32"/>
          <w:szCs w:val="32"/>
        </w:rPr>
        <w:t>%</w:t>
      </w:r>
      <w:r>
        <w:rPr>
          <w:rFonts w:hint="eastAsia" w:ascii="仿宋_GB2312" w:eastAsia="仿宋_GB2312"/>
          <w:kern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（1）财政对基本养老保险基金的补助（项）2024年一般公共预算支出数为24.36万元，比上一年预算数增加5.97万元，增加24.51%。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yellow"/>
          <w:lang w:val="en-US" w:eastAsia="zh-CN" w:bidi="ar-SA"/>
        </w:rPr>
      </w:pPr>
      <w:r>
        <w:rPr>
          <w:rFonts w:hint="eastAsia" w:ascii="仿宋_GB2312" w:eastAsia="仿宋_GB2312" w:cs="Times New Roman"/>
          <w:kern w:val="2"/>
          <w:sz w:val="32"/>
          <w:szCs w:val="32"/>
          <w:highlight w:val="none"/>
          <w:lang w:val="en-US" w:eastAsia="zh-CN" w:bidi="ar-SA"/>
        </w:rPr>
        <w:t xml:space="preserve">（2）财政对失业保险基金的补助（项）2024年一般公共预算支出数为0.76万元，比上一年增加0.16万元，增加21.05%。  </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cs="Times New Roman"/>
          <w:kern w:val="2"/>
          <w:sz w:val="32"/>
          <w:szCs w:val="32"/>
          <w:highlight w:val="none"/>
          <w:lang w:val="en-US" w:eastAsia="zh-CN" w:bidi="ar-SA"/>
        </w:rPr>
        <w:t>（3）财政对工伤保险基金的补助（项）2024年一般公共预算支出数为0.15万元，比上一年预算数增加0.03万元，增加0.2%。</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ascii="仿宋_GB2312" w:eastAsia="仿宋_GB2312"/>
          <w:kern w:val="0"/>
          <w:sz w:val="32"/>
          <w:szCs w:val="32"/>
        </w:rPr>
      </w:pPr>
      <w:r>
        <w:rPr>
          <w:rFonts w:hint="eastAsia" w:ascii="仿宋_GB2312" w:eastAsia="仿宋_GB2312"/>
          <w:b/>
          <w:kern w:val="0"/>
          <w:sz w:val="32"/>
          <w:szCs w:val="32"/>
        </w:rPr>
        <w:t>（二）卫生健康支出（类）</w:t>
      </w:r>
      <w:r>
        <w:rPr>
          <w:rFonts w:hint="eastAsia" w:ascii="仿宋_GB2312" w:eastAsia="仿宋_GB2312"/>
          <w:kern w:val="0"/>
          <w:sz w:val="32"/>
          <w:szCs w:val="32"/>
        </w:rPr>
        <w:t>支出</w:t>
      </w:r>
      <w:r>
        <w:rPr>
          <w:rFonts w:hint="eastAsia" w:ascii="仿宋_GB2312" w:eastAsia="仿宋_GB2312"/>
          <w:kern w:val="0"/>
          <w:sz w:val="32"/>
          <w:szCs w:val="32"/>
          <w:lang w:val="en-US" w:eastAsia="zh-CN"/>
        </w:rPr>
        <w:t>200.23</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，比</w:t>
      </w:r>
      <w:r>
        <w:rPr>
          <w:rFonts w:hint="eastAsia" w:ascii="仿宋_GB2312" w:eastAsia="仿宋_GB2312"/>
          <w:kern w:val="0"/>
          <w:sz w:val="32"/>
          <w:szCs w:val="32"/>
          <w:lang w:eastAsia="zh-CN"/>
        </w:rPr>
        <w:t>上一</w:t>
      </w:r>
      <w:r>
        <w:rPr>
          <w:rFonts w:hint="eastAsia" w:ascii="仿宋_GB2312" w:eastAsia="仿宋_GB2312"/>
          <w:kern w:val="0"/>
          <w:sz w:val="32"/>
          <w:szCs w:val="32"/>
        </w:rPr>
        <w:t>年年初预算数</w:t>
      </w:r>
      <w:r>
        <w:rPr>
          <w:rFonts w:hint="eastAsia" w:ascii="仿宋_GB2312" w:eastAsia="仿宋_GB2312"/>
          <w:kern w:val="0"/>
          <w:sz w:val="32"/>
          <w:szCs w:val="32"/>
          <w:lang w:val="en-US" w:eastAsia="zh-CN"/>
        </w:rPr>
        <w:t>180.82</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增加</w:t>
      </w:r>
      <w:r>
        <w:rPr>
          <w:rFonts w:hint="eastAsia" w:ascii="仿宋_GB2312" w:eastAsia="仿宋_GB2312"/>
          <w:kern w:val="0"/>
          <w:sz w:val="32"/>
          <w:szCs w:val="32"/>
          <w:lang w:val="en-US" w:eastAsia="zh-CN"/>
        </w:rPr>
        <w:t>19.41</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w:t>
      </w:r>
      <w:r>
        <w:rPr>
          <w:rFonts w:hint="eastAsia" w:ascii="仿宋_GB2312" w:eastAsia="仿宋_GB2312"/>
          <w:color w:val="000000" w:themeColor="text1"/>
          <w:kern w:val="0"/>
          <w:sz w:val="32"/>
          <w:szCs w:val="32"/>
          <w:lang w:eastAsia="zh-CN"/>
        </w:rPr>
        <w:t>增长</w:t>
      </w:r>
      <w:r>
        <w:rPr>
          <w:rFonts w:hint="eastAsia" w:ascii="仿宋_GB2312" w:eastAsia="仿宋_GB2312"/>
          <w:color w:val="000000" w:themeColor="text1"/>
          <w:kern w:val="0"/>
          <w:sz w:val="32"/>
          <w:szCs w:val="32"/>
          <w:lang w:val="en-US" w:eastAsia="zh-CN"/>
        </w:rPr>
        <w:t>9.69</w:t>
      </w:r>
      <w:r>
        <w:rPr>
          <w:rFonts w:hint="eastAsia" w:ascii="仿宋_GB2312" w:eastAsia="仿宋_GB2312"/>
          <w:color w:val="000000" w:themeColor="text1"/>
          <w:kern w:val="0"/>
          <w:sz w:val="32"/>
          <w:szCs w:val="32"/>
        </w:rPr>
        <w:t>%</w:t>
      </w:r>
      <w:r>
        <w:rPr>
          <w:rFonts w:hint="eastAsia" w:ascii="仿宋_GB2312" w:eastAsia="仿宋_GB2312"/>
          <w:kern w:val="0"/>
          <w:sz w:val="32"/>
          <w:szCs w:val="32"/>
        </w:rPr>
        <w:t>，增长主要原因是人员的增加。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（1）财政对职工基本医疗保险基金的补助（项）2024年一般公共预算支出数为11.73万元，比上一年预算数增加2.88万元，增长24.55%。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（2）乡镇卫生院（项）2024年一般公共预算支出数为171.96万元，比上一年预算数增加2.92万元，增加1.7%。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（3）  重大公共卫生服务（项）2024年一般公共预算支出数为7万元，比上一年预算数增加7万元，增长100%。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（4） 基本公共卫生服务（项）2024年一般公共预算支出数为6.49万元，比上一年预算数增加6.49万元，增长100%。</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cs="Times New Roman"/>
          <w:kern w:val="2"/>
          <w:sz w:val="32"/>
          <w:szCs w:val="32"/>
          <w:highlight w:val="none"/>
          <w:lang w:val="en-US" w:eastAsia="zh-CN" w:bidi="ar-SA"/>
        </w:rPr>
        <w:t>（5） 公务员医疗补助（项）2024年一般公共预算支出数为3.05万元，比上一年预算数增加0.12万元，增长0.39%。</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ascii="仿宋_GB2312" w:eastAsia="仿宋_GB2312"/>
          <w:kern w:val="0"/>
          <w:sz w:val="32"/>
          <w:szCs w:val="32"/>
        </w:rPr>
      </w:pPr>
      <w:r>
        <w:rPr>
          <w:rFonts w:hint="eastAsia" w:ascii="仿宋_GB2312" w:eastAsia="仿宋_GB2312"/>
          <w:b/>
          <w:kern w:val="0"/>
          <w:sz w:val="32"/>
          <w:szCs w:val="32"/>
        </w:rPr>
        <w:t>（三）住房保障支出（类）</w:t>
      </w:r>
      <w:r>
        <w:rPr>
          <w:rFonts w:hint="eastAsia" w:ascii="仿宋_GB2312" w:eastAsia="仿宋_GB2312"/>
          <w:kern w:val="0"/>
          <w:sz w:val="32"/>
          <w:szCs w:val="32"/>
        </w:rPr>
        <w:t>支出</w:t>
      </w:r>
      <w:r>
        <w:rPr>
          <w:rFonts w:hint="eastAsia" w:ascii="仿宋_GB2312" w:eastAsia="仿宋_GB2312"/>
          <w:kern w:val="0"/>
          <w:sz w:val="32"/>
          <w:szCs w:val="32"/>
          <w:lang w:val="en-US" w:eastAsia="zh-CN"/>
        </w:rPr>
        <w:t>18.27</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，比</w:t>
      </w:r>
      <w:r>
        <w:rPr>
          <w:rFonts w:hint="eastAsia" w:ascii="仿宋_GB2312" w:eastAsia="仿宋_GB2312"/>
          <w:kern w:val="0"/>
          <w:sz w:val="32"/>
          <w:szCs w:val="32"/>
          <w:lang w:eastAsia="zh-CN"/>
        </w:rPr>
        <w:t>上一</w:t>
      </w:r>
      <w:bookmarkStart w:id="0" w:name="_GoBack"/>
      <w:bookmarkEnd w:id="0"/>
      <w:r>
        <w:rPr>
          <w:rFonts w:hint="eastAsia" w:ascii="仿宋_GB2312" w:eastAsia="仿宋_GB2312"/>
          <w:kern w:val="0"/>
          <w:sz w:val="32"/>
          <w:szCs w:val="32"/>
        </w:rPr>
        <w:t>年年初预算数</w:t>
      </w:r>
      <w:r>
        <w:rPr>
          <w:rFonts w:hint="eastAsia" w:ascii="仿宋_GB2312" w:eastAsia="仿宋_GB2312"/>
          <w:kern w:val="0"/>
          <w:sz w:val="32"/>
          <w:szCs w:val="32"/>
          <w:lang w:val="en-US" w:eastAsia="zh-CN"/>
        </w:rPr>
        <w:t>17.59</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增加</w:t>
      </w:r>
      <w:r>
        <w:rPr>
          <w:rFonts w:hint="eastAsia" w:ascii="仿宋_GB2312" w:eastAsia="仿宋_GB2312"/>
          <w:kern w:val="0"/>
          <w:sz w:val="32"/>
          <w:szCs w:val="32"/>
          <w:lang w:val="en-US" w:eastAsia="zh-CN"/>
        </w:rPr>
        <w:t>0.68</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kern w:val="0"/>
          <w:sz w:val="32"/>
          <w:szCs w:val="32"/>
        </w:rPr>
        <w:t>，</w:t>
      </w:r>
      <w:r>
        <w:rPr>
          <w:rFonts w:hint="eastAsia" w:ascii="仿宋_GB2312" w:eastAsia="仿宋_GB2312"/>
          <w:color w:val="000000" w:themeColor="text1"/>
          <w:kern w:val="0"/>
          <w:sz w:val="32"/>
          <w:szCs w:val="32"/>
          <w:lang w:eastAsia="zh-CN"/>
        </w:rPr>
        <w:t>增长</w:t>
      </w:r>
      <w:r>
        <w:rPr>
          <w:rFonts w:hint="eastAsia" w:ascii="仿宋_GB2312" w:eastAsia="仿宋_GB2312"/>
          <w:color w:val="000000" w:themeColor="text1"/>
          <w:kern w:val="0"/>
          <w:sz w:val="32"/>
          <w:szCs w:val="32"/>
          <w:lang w:val="en-US" w:eastAsia="zh-CN"/>
        </w:rPr>
        <w:t>3.72</w:t>
      </w:r>
      <w:r>
        <w:rPr>
          <w:rFonts w:hint="eastAsia" w:ascii="仿宋_GB2312" w:eastAsia="仿宋_GB2312"/>
          <w:color w:val="000000" w:themeColor="text1"/>
          <w:kern w:val="0"/>
          <w:sz w:val="32"/>
          <w:szCs w:val="32"/>
        </w:rPr>
        <w:t>%</w:t>
      </w:r>
      <w:r>
        <w:rPr>
          <w:rFonts w:hint="eastAsia" w:ascii="仿宋_GB2312" w:eastAsia="仿宋_GB2312"/>
          <w:kern w:val="0"/>
          <w:sz w:val="32"/>
          <w:szCs w:val="32"/>
        </w:rPr>
        <w:t>，主要原因为人员增加。</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仿宋_GB2312" w:eastAsia="仿宋_GB2312"/>
          <w:kern w:val="0"/>
          <w:sz w:val="32"/>
          <w:szCs w:val="32"/>
        </w:rPr>
      </w:pPr>
      <w:r>
        <w:rPr>
          <w:rFonts w:hint="eastAsia" w:ascii="仿宋_GB2312" w:eastAsia="仿宋_GB2312" w:cs="Times New Roman"/>
          <w:kern w:val="2"/>
          <w:sz w:val="32"/>
          <w:szCs w:val="32"/>
          <w:highlight w:val="none"/>
          <w:lang w:val="en-US" w:eastAsia="zh-CN" w:bidi="ar-SA"/>
        </w:rPr>
        <w:t>（1）住房公积金（项）2024年一般公共预算支出数为18.27万元，比上一年预算数增加0.68</w:t>
      </w:r>
      <w:r>
        <w:rPr>
          <w:rFonts w:hint="eastAsia" w:ascii="仿宋_GB2312" w:hAnsi="Calibri" w:eastAsia="仿宋_GB2312" w:cs="Times New Roman"/>
          <w:kern w:val="2"/>
          <w:sz w:val="32"/>
          <w:szCs w:val="32"/>
          <w:highlight w:val="none"/>
          <w:lang w:val="en-US" w:eastAsia="zh-CN" w:bidi="ar-SA"/>
        </w:rPr>
        <w:t>万元，</w:t>
      </w:r>
      <w:r>
        <w:rPr>
          <w:rFonts w:hint="eastAsia" w:ascii="仿宋_GB2312" w:eastAsia="仿宋_GB2312" w:cs="Times New Roman"/>
          <w:kern w:val="2"/>
          <w:sz w:val="32"/>
          <w:szCs w:val="32"/>
          <w:highlight w:val="none"/>
          <w:lang w:val="en-US" w:eastAsia="zh-CN" w:bidi="ar-SA"/>
        </w:rPr>
        <w:t>增长3.72</w:t>
      </w:r>
      <w:r>
        <w:rPr>
          <w:rFonts w:hint="eastAsia" w:ascii="仿宋_GB2312" w:hAnsi="Calibri" w:eastAsia="仿宋_GB2312" w:cs="Times New Roman"/>
          <w:kern w:val="2"/>
          <w:sz w:val="32"/>
          <w:szCs w:val="32"/>
          <w:highlight w:val="none"/>
          <w:lang w:val="en-US" w:eastAsia="zh-CN" w:bidi="ar-SA"/>
        </w:rPr>
        <w:t>%。</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lang w:eastAsia="zh-CN"/>
        </w:rPr>
        <w:t>六</w:t>
      </w:r>
      <w:r>
        <w:rPr>
          <w:rFonts w:hint="eastAsia" w:ascii="宋体" w:hAnsi="宋体"/>
          <w:b/>
          <w:color w:val="auto"/>
          <w:sz w:val="32"/>
          <w:szCs w:val="32"/>
          <w:u w:val="none"/>
        </w:rPr>
        <w:t>、关于工布江达县</w:t>
      </w:r>
      <w:r>
        <w:rPr>
          <w:rFonts w:hint="eastAsia" w:ascii="宋体" w:hAnsi="宋体"/>
          <w:b/>
          <w:color w:val="auto"/>
          <w:sz w:val="32"/>
          <w:szCs w:val="32"/>
          <w:u w:val="none"/>
          <w:lang w:eastAsia="zh-CN"/>
        </w:rPr>
        <w:t>加兴乡卫生院2024</w:t>
      </w:r>
      <w:r>
        <w:rPr>
          <w:rFonts w:hint="eastAsia" w:ascii="宋体" w:hAnsi="宋体"/>
          <w:b/>
          <w:color w:val="auto"/>
          <w:sz w:val="32"/>
          <w:szCs w:val="32"/>
          <w:u w:val="none"/>
        </w:rPr>
        <w:t>年一般公共预算基本支出情况说明</w:t>
      </w:r>
    </w:p>
    <w:p>
      <w:pPr>
        <w:pStyle w:val="5"/>
        <w:spacing w:before="0" w:beforeAutospacing="0" w:after="0" w:afterAutospacing="0" w:line="720" w:lineRule="auto"/>
        <w:ind w:firstLine="480"/>
        <w:rPr>
          <w:rFonts w:ascii="仿宋_GB2312" w:eastAsia="仿宋_GB2312"/>
          <w:sz w:val="32"/>
          <w:szCs w:val="32"/>
        </w:rPr>
      </w:pPr>
      <w:r>
        <w:rPr>
          <w:rFonts w:hint="eastAsia" w:ascii="仿宋_GB2312" w:eastAsia="仿宋_GB2312"/>
          <w:sz w:val="32"/>
          <w:szCs w:val="32"/>
        </w:rPr>
        <w:t>工布江达县加兴乡卫生院</w:t>
      </w:r>
      <w:r>
        <w:rPr>
          <w:rFonts w:hint="eastAsia" w:ascii="仿宋_GB2312" w:eastAsia="仿宋_GB2312"/>
          <w:sz w:val="32"/>
          <w:szCs w:val="32"/>
          <w:lang w:eastAsia="zh-CN"/>
        </w:rPr>
        <w:t>2024</w:t>
      </w:r>
      <w:r>
        <w:rPr>
          <w:rFonts w:hint="eastAsia" w:ascii="仿宋_GB2312" w:eastAsia="仿宋_GB2312"/>
          <w:sz w:val="32"/>
          <w:szCs w:val="32"/>
        </w:rPr>
        <w:t>年度一般公共预算财政拨款基本支出</w:t>
      </w:r>
      <w:r>
        <w:rPr>
          <w:rFonts w:hint="eastAsia" w:ascii="仿宋_GB2312" w:eastAsia="仿宋_GB2312"/>
          <w:sz w:val="32"/>
          <w:szCs w:val="32"/>
          <w:lang w:val="en-US" w:eastAsia="zh-CN"/>
        </w:rPr>
        <w:t>243.77万</w:t>
      </w:r>
      <w:r>
        <w:rPr>
          <w:rFonts w:hint="eastAsia" w:ascii="仿宋_GB2312" w:eastAsia="仿宋_GB2312"/>
          <w:sz w:val="32"/>
          <w:szCs w:val="32"/>
        </w:rPr>
        <w:t>元，比上一年增长</w:t>
      </w:r>
      <w:r>
        <w:rPr>
          <w:rFonts w:hint="eastAsia" w:ascii="仿宋_GB2312" w:eastAsia="仿宋_GB2312"/>
          <w:sz w:val="32"/>
          <w:szCs w:val="32"/>
          <w:lang w:val="en-US" w:eastAsia="zh-CN"/>
        </w:rPr>
        <w:t>26.25万</w:t>
      </w:r>
      <w:r>
        <w:rPr>
          <w:rFonts w:hint="eastAsia" w:ascii="仿宋_GB2312" w:eastAsia="仿宋_GB2312"/>
          <w:sz w:val="32"/>
          <w:szCs w:val="32"/>
        </w:rPr>
        <w:t>元，增长</w:t>
      </w:r>
      <w:r>
        <w:rPr>
          <w:rFonts w:hint="eastAsia" w:ascii="仿宋_GB2312" w:eastAsia="仿宋_GB2312"/>
          <w:sz w:val="32"/>
          <w:szCs w:val="32"/>
          <w:lang w:val="en-US" w:eastAsia="zh-CN"/>
        </w:rPr>
        <w:t>10.77</w:t>
      </w:r>
      <w:r>
        <w:rPr>
          <w:rFonts w:hint="eastAsia" w:ascii="仿宋_GB2312" w:eastAsia="仿宋_GB2312"/>
          <w:sz w:val="32"/>
          <w:szCs w:val="32"/>
        </w:rPr>
        <w:t>%。其中：</w:t>
      </w:r>
      <w:r>
        <w:rPr>
          <w:rFonts w:hint="eastAsia" w:ascii="仿宋_GB2312" w:eastAsia="仿宋_GB2312"/>
          <w:b/>
          <w:sz w:val="32"/>
          <w:szCs w:val="32"/>
        </w:rPr>
        <w:t>人员经费</w:t>
      </w:r>
      <w:r>
        <w:rPr>
          <w:rFonts w:hint="eastAsia" w:ascii="仿宋_GB2312" w:eastAsia="仿宋_GB2312"/>
          <w:sz w:val="32"/>
          <w:szCs w:val="32"/>
        </w:rPr>
        <w:t>支出</w:t>
      </w:r>
      <w:r>
        <w:rPr>
          <w:rFonts w:hint="eastAsia" w:ascii="仿宋_GB2312" w:eastAsia="仿宋_GB2312"/>
          <w:sz w:val="32"/>
          <w:szCs w:val="32"/>
          <w:lang w:val="en-US" w:eastAsia="zh-CN"/>
        </w:rPr>
        <w:t>215.23万</w:t>
      </w:r>
      <w:r>
        <w:rPr>
          <w:rFonts w:hint="eastAsia" w:ascii="仿宋_GB2312" w:eastAsia="仿宋_GB2312"/>
          <w:sz w:val="32"/>
          <w:szCs w:val="32"/>
        </w:rPr>
        <w:t>元，占总支出的</w:t>
      </w:r>
      <w:r>
        <w:rPr>
          <w:rFonts w:hint="eastAsia" w:ascii="仿宋_GB2312" w:eastAsia="仿宋_GB2312"/>
          <w:sz w:val="32"/>
          <w:szCs w:val="32"/>
          <w:lang w:val="en-US" w:eastAsia="zh-CN"/>
        </w:rPr>
        <w:t>88.29</w:t>
      </w:r>
      <w:r>
        <w:rPr>
          <w:rFonts w:hint="eastAsia" w:ascii="仿宋_GB2312" w:eastAsia="仿宋_GB2312"/>
          <w:sz w:val="32"/>
          <w:szCs w:val="32"/>
        </w:rPr>
        <w:t>%，主要包括基本工资、津贴补贴、奖金、其他社会保障缴费、其他工资福利支出、住房公积金、提租补贴、购房补贴、其他对个人和家庭的补助支出等。</w:t>
      </w:r>
      <w:r>
        <w:rPr>
          <w:rFonts w:hint="eastAsia" w:ascii="仿宋_GB2312" w:eastAsia="仿宋_GB2312"/>
          <w:b/>
          <w:sz w:val="32"/>
          <w:szCs w:val="32"/>
        </w:rPr>
        <w:t>日常公用经费</w:t>
      </w:r>
      <w:r>
        <w:rPr>
          <w:rFonts w:hint="eastAsia" w:ascii="仿宋_GB2312" w:eastAsia="仿宋_GB2312"/>
          <w:sz w:val="32"/>
          <w:szCs w:val="32"/>
        </w:rPr>
        <w:t>支出</w:t>
      </w:r>
      <w:r>
        <w:rPr>
          <w:rFonts w:hint="eastAsia" w:ascii="仿宋_GB2312" w:eastAsia="仿宋_GB2312"/>
          <w:sz w:val="32"/>
          <w:szCs w:val="32"/>
          <w:lang w:val="en-US" w:eastAsia="zh-CN"/>
        </w:rPr>
        <w:t>15.05万</w:t>
      </w:r>
      <w:r>
        <w:rPr>
          <w:rFonts w:hint="eastAsia" w:ascii="仿宋_GB2312" w:eastAsia="仿宋_GB2312"/>
          <w:sz w:val="32"/>
          <w:szCs w:val="32"/>
        </w:rPr>
        <w:t>元，占总支出的</w:t>
      </w:r>
      <w:r>
        <w:rPr>
          <w:rFonts w:hint="eastAsia" w:ascii="仿宋_GB2312" w:eastAsia="仿宋_GB2312"/>
          <w:sz w:val="32"/>
          <w:szCs w:val="32"/>
          <w:lang w:val="en-US" w:eastAsia="zh-CN"/>
        </w:rPr>
        <w:t>6.17</w:t>
      </w:r>
      <w:r>
        <w:rPr>
          <w:rFonts w:hint="eastAsia" w:ascii="仿宋_GB2312" w:eastAsia="仿宋_GB2312"/>
          <w:sz w:val="32"/>
          <w:szCs w:val="32"/>
        </w:rPr>
        <w:t>%。主要包括办公费、水费、电费、邮电费、取暖费、差旅费、维修费、培训费、公务接待费、专用材料费、福利费、公车运行维护费、其他交通费、其他商品和服务支出、办公设备购置、专用设备购置等。</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lang w:eastAsia="zh-CN"/>
        </w:rPr>
        <w:t>七</w:t>
      </w:r>
      <w:r>
        <w:rPr>
          <w:rFonts w:hint="eastAsia" w:ascii="宋体" w:hAnsi="宋体"/>
          <w:b/>
          <w:color w:val="auto"/>
          <w:sz w:val="32"/>
          <w:szCs w:val="32"/>
          <w:u w:val="none"/>
        </w:rPr>
        <w:t>、关于工布江达县</w:t>
      </w:r>
      <w:r>
        <w:rPr>
          <w:rFonts w:hint="eastAsia" w:ascii="宋体" w:hAnsi="宋体"/>
          <w:b/>
          <w:color w:val="auto"/>
          <w:sz w:val="32"/>
          <w:szCs w:val="32"/>
          <w:u w:val="none"/>
          <w:lang w:eastAsia="zh-CN"/>
        </w:rPr>
        <w:t>加兴乡卫生院2024</w:t>
      </w:r>
      <w:r>
        <w:rPr>
          <w:rFonts w:hint="eastAsia" w:ascii="宋体" w:hAnsi="宋体"/>
          <w:b/>
          <w:color w:val="auto"/>
          <w:sz w:val="32"/>
          <w:szCs w:val="32"/>
          <w:u w:val="none"/>
        </w:rPr>
        <w:t>年一般公共预算“三公”经费支出情况说明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Calibri" w:eastAsia="仿宋_GB2312" w:cs="Times New Roman"/>
          <w:kern w:val="2"/>
          <w:sz w:val="32"/>
          <w:szCs w:val="32"/>
          <w:highlight w:val="none"/>
          <w:lang w:val="en-US" w:eastAsia="zh-CN" w:bidi="ar-SA"/>
        </w:rPr>
      </w:pPr>
      <w:r>
        <w:rPr>
          <w:rFonts w:hint="eastAsia" w:ascii="仿宋_GB2312" w:eastAsia="仿宋_GB2312" w:cs="Times New Roman" w:hAnsiTheme="minorHAnsi"/>
          <w:kern w:val="0"/>
          <w:sz w:val="32"/>
          <w:szCs w:val="32"/>
          <w:lang w:val="en-US" w:eastAsia="zh-CN" w:bidi="ar-SA"/>
        </w:rPr>
        <w:t>工布江达县加兴乡卫生院</w:t>
      </w:r>
      <w:r>
        <w:rPr>
          <w:rFonts w:hint="eastAsia" w:ascii="仿宋_GB2312" w:eastAsia="仿宋_GB2312" w:cs="Times New Roman"/>
          <w:kern w:val="0"/>
          <w:sz w:val="32"/>
          <w:szCs w:val="32"/>
          <w:lang w:val="en-US" w:eastAsia="zh-CN" w:bidi="ar-SA"/>
        </w:rPr>
        <w:t>2024</w:t>
      </w:r>
      <w:r>
        <w:rPr>
          <w:rFonts w:hint="eastAsia" w:ascii="仿宋_GB2312" w:eastAsia="仿宋_GB2312" w:cs="Times New Roman" w:hAnsiTheme="minorHAnsi"/>
          <w:kern w:val="0"/>
          <w:sz w:val="32"/>
          <w:szCs w:val="32"/>
          <w:lang w:val="en-US" w:eastAsia="zh-CN" w:bidi="ar-SA"/>
        </w:rPr>
        <w:t>年“三公”经费预算数</w:t>
      </w:r>
      <w:r>
        <w:rPr>
          <w:rFonts w:hint="eastAsia" w:ascii="仿宋_GB2312" w:eastAsia="仿宋_GB2312" w:cs="Times New Roman"/>
          <w:kern w:val="0"/>
          <w:sz w:val="32"/>
          <w:szCs w:val="32"/>
          <w:lang w:val="en-US" w:eastAsia="zh-CN" w:bidi="ar-SA"/>
        </w:rPr>
        <w:t>3.6</w:t>
      </w:r>
      <w:r>
        <w:rPr>
          <w:rFonts w:hint="eastAsia" w:ascii="仿宋_GB2312" w:eastAsia="仿宋_GB2312" w:cs="Times New Roman" w:hAnsiTheme="minorHAnsi"/>
          <w:kern w:val="0"/>
          <w:sz w:val="32"/>
          <w:szCs w:val="32"/>
          <w:lang w:val="en-US" w:eastAsia="zh-CN" w:bidi="ar-SA"/>
        </w:rPr>
        <w:t>万元，其中：公务用车购置及运行费</w:t>
      </w:r>
      <w:r>
        <w:rPr>
          <w:rFonts w:hint="eastAsia" w:ascii="仿宋_GB2312" w:eastAsia="仿宋_GB2312" w:cs="Times New Roman"/>
          <w:kern w:val="0"/>
          <w:sz w:val="32"/>
          <w:szCs w:val="32"/>
          <w:lang w:val="en-US" w:eastAsia="zh-CN" w:bidi="ar-SA"/>
        </w:rPr>
        <w:t>3.6</w:t>
      </w:r>
      <w:r>
        <w:rPr>
          <w:rFonts w:hint="eastAsia" w:ascii="仿宋_GB2312" w:eastAsia="仿宋_GB2312" w:cs="Times New Roman" w:hAnsiTheme="minorHAnsi"/>
          <w:kern w:val="0"/>
          <w:sz w:val="32"/>
          <w:szCs w:val="32"/>
          <w:lang w:val="en-US" w:eastAsia="zh-CN" w:bidi="ar-SA"/>
        </w:rPr>
        <w:t>万元，全部为公务用车运行费；本单位</w:t>
      </w:r>
      <w:r>
        <w:rPr>
          <w:rFonts w:hint="eastAsia" w:ascii="仿宋_GB2312" w:eastAsia="仿宋_GB2312" w:cs="Times New Roman"/>
          <w:kern w:val="0"/>
          <w:sz w:val="32"/>
          <w:szCs w:val="32"/>
          <w:lang w:val="en-US" w:eastAsia="zh-CN" w:bidi="ar-SA"/>
        </w:rPr>
        <w:t>2024</w:t>
      </w:r>
      <w:r>
        <w:rPr>
          <w:rFonts w:hint="eastAsia" w:ascii="仿宋_GB2312" w:eastAsia="仿宋_GB2312" w:cs="Times New Roman" w:hAnsiTheme="minorHAnsi"/>
          <w:kern w:val="0"/>
          <w:sz w:val="32"/>
          <w:szCs w:val="32"/>
          <w:lang w:val="en-US" w:eastAsia="zh-CN" w:bidi="ar-SA"/>
        </w:rPr>
        <w:t>年无公务接待费、无因公出国（境）费。</w:t>
      </w:r>
      <w:r>
        <w:rPr>
          <w:rFonts w:hint="eastAsia" w:ascii="仿宋_GB2312" w:eastAsia="仿宋_GB2312" w:cs="Times New Roman"/>
          <w:kern w:val="2"/>
          <w:sz w:val="32"/>
          <w:szCs w:val="32"/>
          <w:highlight w:val="none"/>
          <w:lang w:val="en-US" w:eastAsia="zh-CN" w:bidi="ar-SA"/>
        </w:rPr>
        <w:t>2024</w:t>
      </w:r>
      <w:r>
        <w:rPr>
          <w:rFonts w:hint="eastAsia" w:ascii="仿宋_GB2312" w:hAnsi="Calibri" w:eastAsia="仿宋_GB2312" w:cs="Times New Roman"/>
          <w:kern w:val="2"/>
          <w:sz w:val="32"/>
          <w:szCs w:val="32"/>
          <w:highlight w:val="none"/>
          <w:lang w:val="en-US" w:eastAsia="zh-CN" w:bidi="ar-SA"/>
        </w:rPr>
        <w:t>年“三公”经费预算比上一年预算数</w:t>
      </w:r>
      <w:r>
        <w:rPr>
          <w:rFonts w:hint="eastAsia" w:ascii="仿宋_GB2312" w:eastAsia="仿宋_GB2312" w:cs="Times New Roman"/>
          <w:kern w:val="2"/>
          <w:sz w:val="32"/>
          <w:szCs w:val="32"/>
          <w:highlight w:val="none"/>
          <w:lang w:val="en-US" w:eastAsia="zh-CN" w:bidi="ar-SA"/>
        </w:rPr>
        <w:t>增加0</w:t>
      </w:r>
      <w:r>
        <w:rPr>
          <w:rFonts w:hint="eastAsia" w:ascii="仿宋_GB2312" w:hAnsi="Calibri" w:eastAsia="仿宋_GB2312" w:cs="Times New Roman"/>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仿宋_GB2312" w:eastAsia="仿宋_GB2312" w:cs="Times New Roman" w:hAnsiTheme="minorHAnsi"/>
          <w:kern w:val="0"/>
          <w:sz w:val="32"/>
          <w:szCs w:val="32"/>
          <w:lang w:val="en-US" w:eastAsia="zh-CN" w:bidi="ar-SA"/>
        </w:rPr>
      </w:pPr>
    </w:p>
    <w:p>
      <w:pPr>
        <w:pStyle w:val="5"/>
        <w:numPr>
          <w:ilvl w:val="0"/>
          <w:numId w:val="2"/>
        </w:numPr>
        <w:spacing w:before="0" w:beforeAutospacing="0" w:after="0" w:afterAutospacing="0" w:line="720" w:lineRule="auto"/>
        <w:ind w:left="-270" w:leftChars="0" w:firstLine="480" w:firstLineChars="0"/>
        <w:rPr>
          <w:rFonts w:hint="eastAsia" w:ascii="宋体" w:hAnsi="宋体"/>
          <w:b/>
          <w:color w:val="auto"/>
          <w:sz w:val="32"/>
          <w:szCs w:val="32"/>
          <w:u w:val="none"/>
          <w:lang w:val="en-US" w:eastAsia="zh-CN"/>
        </w:rPr>
      </w:pPr>
      <w:r>
        <w:rPr>
          <w:rFonts w:hint="eastAsia" w:ascii="宋体" w:hAnsi="宋体"/>
          <w:b/>
          <w:color w:val="auto"/>
          <w:sz w:val="32"/>
          <w:szCs w:val="32"/>
          <w:u w:val="none"/>
          <w:lang w:eastAsia="zh-CN"/>
        </w:rPr>
        <w:t>关于工布江达县加兴乡卫生院</w:t>
      </w:r>
      <w:r>
        <w:rPr>
          <w:rFonts w:hint="eastAsia" w:ascii="宋体" w:hAnsi="宋体"/>
          <w:b/>
          <w:color w:val="auto"/>
          <w:sz w:val="32"/>
          <w:szCs w:val="32"/>
          <w:u w:val="none"/>
          <w:lang w:val="en-US" w:eastAsia="zh-CN"/>
        </w:rPr>
        <w:t>2024年国有资本经营预算财政拨款收入支出情况说明</w:t>
      </w:r>
    </w:p>
    <w:p>
      <w:pPr>
        <w:pStyle w:val="5"/>
        <w:spacing w:before="0" w:beforeAutospacing="0" w:after="0" w:afterAutospacing="0" w:line="720" w:lineRule="auto"/>
        <w:ind w:firstLine="480"/>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 xml:space="preserve"> </w:t>
      </w:r>
      <w:r>
        <w:rPr>
          <w:rFonts w:hint="eastAsia" w:ascii="仿宋_GB2312" w:eastAsia="仿宋_GB2312" w:cs="Times New Roman"/>
          <w:kern w:val="2"/>
          <w:sz w:val="32"/>
          <w:szCs w:val="32"/>
          <w:highlight w:val="none"/>
          <w:lang w:val="en-US" w:eastAsia="zh-CN" w:bidi="ar-SA"/>
        </w:rPr>
        <w:t>工布江达县疾病预防控制中心2024</w:t>
      </w:r>
      <w:r>
        <w:rPr>
          <w:rFonts w:hint="eastAsia" w:ascii="仿宋_GB2312" w:hAnsi="Calibri" w:eastAsia="仿宋_GB2312" w:cs="Times New Roman"/>
          <w:kern w:val="2"/>
          <w:sz w:val="32"/>
          <w:szCs w:val="32"/>
          <w:highlight w:val="none"/>
          <w:lang w:val="en-US" w:eastAsia="zh-CN" w:bidi="ar-SA"/>
        </w:rPr>
        <w:t>年无国有资本经营预算财政拨款收入支出情况。</w:t>
      </w:r>
    </w:p>
    <w:p>
      <w:pPr>
        <w:pStyle w:val="5"/>
        <w:spacing w:before="0" w:beforeAutospacing="0" w:after="0" w:afterAutospacing="0" w:line="720" w:lineRule="auto"/>
        <w:ind w:firstLine="480"/>
        <w:rPr>
          <w:rFonts w:hint="eastAsia" w:ascii="宋体" w:hAnsi="宋体"/>
          <w:b/>
          <w:color w:val="auto"/>
          <w:sz w:val="32"/>
          <w:szCs w:val="32"/>
          <w:u w:val="none"/>
        </w:rPr>
      </w:pPr>
      <w:r>
        <w:rPr>
          <w:rFonts w:hint="eastAsia" w:ascii="宋体" w:hAnsi="宋体"/>
          <w:b/>
          <w:color w:val="auto"/>
          <w:sz w:val="32"/>
          <w:szCs w:val="32"/>
          <w:u w:val="none"/>
          <w:lang w:eastAsia="zh-CN"/>
        </w:rPr>
        <w:t>九</w:t>
      </w:r>
      <w:r>
        <w:rPr>
          <w:rFonts w:hint="eastAsia" w:ascii="宋体" w:hAnsi="宋体"/>
          <w:b/>
          <w:color w:val="auto"/>
          <w:sz w:val="32"/>
          <w:szCs w:val="32"/>
          <w:u w:val="none"/>
        </w:rPr>
        <w:t>、关于工布江达县</w:t>
      </w:r>
      <w:r>
        <w:rPr>
          <w:rFonts w:hint="eastAsia" w:ascii="宋体" w:hAnsi="宋体"/>
          <w:b/>
          <w:color w:val="auto"/>
          <w:sz w:val="32"/>
          <w:szCs w:val="32"/>
          <w:u w:val="none"/>
          <w:lang w:eastAsia="zh-CN"/>
        </w:rPr>
        <w:t>加兴乡卫生院2024</w:t>
      </w:r>
      <w:r>
        <w:rPr>
          <w:rFonts w:hint="eastAsia" w:ascii="宋体" w:hAnsi="宋体"/>
          <w:b/>
          <w:color w:val="auto"/>
          <w:sz w:val="32"/>
          <w:szCs w:val="32"/>
          <w:u w:val="none"/>
        </w:rPr>
        <w:t>年政府性基金预算支出情况说明</w:t>
      </w:r>
    </w:p>
    <w:p>
      <w:pPr>
        <w:pStyle w:val="5"/>
        <w:spacing w:before="0" w:beforeAutospacing="0" w:after="0" w:afterAutospacing="0" w:line="720" w:lineRule="auto"/>
        <w:ind w:firstLine="480"/>
        <w:rPr>
          <w:rFonts w:hint="eastAsia" w:ascii="仿宋_GB2312" w:eastAsia="仿宋_GB2312" w:cs="Times New Roman" w:hAnsiTheme="minorHAnsi"/>
          <w:kern w:val="0"/>
          <w:sz w:val="32"/>
          <w:szCs w:val="32"/>
          <w:lang w:val="en-US" w:eastAsia="zh-CN" w:bidi="ar-SA"/>
        </w:rPr>
      </w:pPr>
      <w:r>
        <w:rPr>
          <w:rFonts w:hint="eastAsia" w:ascii="仿宋_GB2312" w:eastAsia="仿宋_GB2312" w:cs="Times New Roman" w:hAnsiTheme="minorHAnsi"/>
          <w:kern w:val="0"/>
          <w:sz w:val="32"/>
          <w:szCs w:val="32"/>
          <w:lang w:val="en-US" w:eastAsia="zh-CN" w:bidi="ar-SA"/>
        </w:rPr>
        <w:t>工布江达县加兴乡卫生院</w:t>
      </w:r>
      <w:r>
        <w:rPr>
          <w:rFonts w:hint="eastAsia" w:ascii="仿宋_GB2312" w:eastAsia="仿宋_GB2312" w:cs="Times New Roman"/>
          <w:kern w:val="0"/>
          <w:sz w:val="32"/>
          <w:szCs w:val="32"/>
          <w:lang w:val="en-US" w:eastAsia="zh-CN" w:bidi="ar-SA"/>
        </w:rPr>
        <w:t>2024</w:t>
      </w:r>
      <w:r>
        <w:rPr>
          <w:rFonts w:hint="eastAsia" w:ascii="仿宋_GB2312" w:eastAsia="仿宋_GB2312" w:cs="Times New Roman" w:hAnsiTheme="minorHAnsi"/>
          <w:kern w:val="0"/>
          <w:sz w:val="32"/>
          <w:szCs w:val="32"/>
          <w:lang w:val="en-US" w:eastAsia="zh-CN" w:bidi="ar-SA"/>
        </w:rPr>
        <w:t>年没有使用政府性基金安排的支出。</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、其他重要事项情况说明</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ascii="仿宋_GB2312" w:eastAsia="仿宋_GB2312"/>
          <w:color w:val="000000" w:themeColor="text1"/>
          <w:sz w:val="32"/>
          <w:szCs w:val="32"/>
        </w:rPr>
      </w:pPr>
      <w:r>
        <w:rPr>
          <w:rFonts w:hint="eastAsia" w:ascii="仿宋_GB2312" w:eastAsia="仿宋_GB2312"/>
          <w:b/>
          <w:bCs/>
          <w:color w:val="000000" w:themeColor="text1"/>
          <w:sz w:val="32"/>
          <w:szCs w:val="32"/>
        </w:rPr>
        <w:t>（一）机关运行经费支出情况。</w:t>
      </w:r>
      <w:r>
        <w:rPr>
          <w:rFonts w:hint="eastAsia" w:ascii="仿宋_GB2312" w:eastAsia="仿宋_GB2312"/>
          <w:color w:val="000000" w:themeColor="text1"/>
          <w:sz w:val="32"/>
          <w:szCs w:val="32"/>
        </w:rPr>
        <w:t>工布江达县加兴乡卫生院</w:t>
      </w:r>
      <w:r>
        <w:rPr>
          <w:rFonts w:hint="eastAsia" w:ascii="仿宋_GB2312" w:eastAsia="仿宋_GB2312"/>
          <w:color w:val="000000" w:themeColor="text1"/>
          <w:sz w:val="32"/>
          <w:szCs w:val="32"/>
          <w:lang w:eastAsia="zh-CN"/>
        </w:rPr>
        <w:t>2024</w:t>
      </w:r>
      <w:r>
        <w:rPr>
          <w:rFonts w:hint="eastAsia" w:ascii="仿宋_GB2312" w:eastAsia="仿宋_GB2312"/>
          <w:color w:val="000000" w:themeColor="text1"/>
          <w:sz w:val="32"/>
          <w:szCs w:val="32"/>
        </w:rPr>
        <w:t>年度机关运行经费</w:t>
      </w:r>
      <w:r>
        <w:rPr>
          <w:rFonts w:hint="eastAsia" w:ascii="仿宋_GB2312" w:eastAsia="仿宋_GB2312"/>
          <w:color w:val="000000" w:themeColor="text1"/>
          <w:sz w:val="32"/>
          <w:szCs w:val="32"/>
          <w:lang w:val="en-US" w:eastAsia="zh-CN"/>
        </w:rPr>
        <w:t>15.05</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color w:val="000000" w:themeColor="text1"/>
          <w:sz w:val="32"/>
          <w:szCs w:val="32"/>
        </w:rPr>
        <w:t>，比上一年</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0.06</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0.4</w:t>
      </w:r>
      <w:r>
        <w:rPr>
          <w:rFonts w:hint="eastAsia" w:ascii="仿宋_GB2312" w:eastAsia="仿宋_GB2312"/>
          <w:color w:val="000000" w:themeColor="text1"/>
          <w:sz w:val="32"/>
          <w:szCs w:val="32"/>
        </w:rPr>
        <w:t>%。</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ascii="仿宋_GB2312" w:hAnsi="仿宋_GB2312" w:eastAsia="仿宋_GB2312" w:cs="仿宋_GB2312"/>
          <w:color w:val="000000" w:themeColor="text1"/>
          <w:sz w:val="32"/>
          <w:szCs w:val="32"/>
        </w:rPr>
      </w:pPr>
      <w:r>
        <w:rPr>
          <w:rFonts w:hint="eastAsia" w:ascii="仿宋_GB2312" w:eastAsia="仿宋_GB2312"/>
          <w:b/>
          <w:bCs/>
          <w:color w:val="000000" w:themeColor="text1"/>
          <w:sz w:val="32"/>
          <w:szCs w:val="32"/>
        </w:rPr>
        <w:t>（二）国有资产占有使用情况。</w:t>
      </w:r>
      <w:r>
        <w:rPr>
          <w:rFonts w:hint="eastAsia" w:ascii="仿宋_GB2312" w:eastAsia="仿宋_GB2312"/>
          <w:color w:val="000000" w:themeColor="text1"/>
          <w:sz w:val="32"/>
          <w:szCs w:val="32"/>
        </w:rPr>
        <w:t>截止</w:t>
      </w:r>
      <w:r>
        <w:rPr>
          <w:rFonts w:hint="eastAsia" w:ascii="仿宋_GB2312" w:eastAsia="仿宋_GB2312"/>
          <w:color w:val="000000" w:themeColor="text1"/>
          <w:sz w:val="32"/>
          <w:szCs w:val="32"/>
          <w:lang w:val="en-US" w:eastAsia="zh-CN"/>
        </w:rPr>
        <w:t>2023</w:t>
      </w:r>
      <w:r>
        <w:rPr>
          <w:rFonts w:hint="eastAsia" w:ascii="仿宋_GB2312" w:eastAsia="仿宋_GB2312"/>
          <w:color w:val="000000" w:themeColor="text1"/>
          <w:sz w:val="32"/>
          <w:szCs w:val="32"/>
        </w:rPr>
        <w:t>年年底，工布江达县加兴乡卫生院共有车辆1辆，其中一般公务用车1辆。</w:t>
      </w:r>
      <w:r>
        <w:rPr>
          <w:rFonts w:hint="eastAsia" w:ascii="仿宋_GB2312" w:hAnsi="仿宋_GB2312" w:eastAsia="仿宋_GB2312" w:cs="仿宋_GB2312"/>
          <w:color w:val="000000" w:themeColor="text1"/>
          <w:sz w:val="32"/>
          <w:szCs w:val="32"/>
        </w:rPr>
        <w:t>固定资产总额</w:t>
      </w:r>
      <w:r>
        <w:rPr>
          <w:rFonts w:hint="eastAsia" w:ascii="仿宋_GB2312" w:hAnsi="仿宋_GB2312" w:eastAsia="仿宋_GB2312" w:cs="仿宋_GB2312"/>
          <w:color w:val="000000" w:themeColor="text1"/>
          <w:sz w:val="32"/>
          <w:szCs w:val="32"/>
          <w:lang w:val="en-US" w:eastAsia="zh-CN"/>
        </w:rPr>
        <w:t>231.12</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hAnsi="仿宋_GB2312" w:eastAsia="仿宋_GB2312" w:cs="仿宋_GB2312"/>
          <w:color w:val="000000" w:themeColor="text1"/>
          <w:sz w:val="32"/>
          <w:szCs w:val="32"/>
        </w:rPr>
        <w:t>。其中：房屋类固定资产</w:t>
      </w:r>
      <w:r>
        <w:rPr>
          <w:rFonts w:hint="eastAsia" w:ascii="仿宋_GB2312" w:hAnsi="仿宋_GB2312" w:eastAsia="仿宋_GB2312" w:cs="仿宋_GB2312"/>
          <w:color w:val="000000" w:themeColor="text1"/>
          <w:sz w:val="32"/>
          <w:szCs w:val="32"/>
          <w:lang w:val="en-US" w:eastAsia="zh-CN"/>
        </w:rPr>
        <w:t>136.96</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hAnsi="仿宋_GB2312" w:eastAsia="仿宋_GB2312" w:cs="仿宋_GB2312"/>
          <w:color w:val="000000" w:themeColor="text1"/>
          <w:sz w:val="32"/>
          <w:szCs w:val="32"/>
        </w:rPr>
        <w:t>，占资产总额的</w:t>
      </w:r>
      <w:r>
        <w:rPr>
          <w:rFonts w:hint="eastAsia" w:ascii="仿宋_GB2312" w:hAnsi="仿宋_GB2312" w:eastAsia="仿宋_GB2312" w:cs="仿宋_GB2312"/>
          <w:color w:val="000000" w:themeColor="text1"/>
          <w:sz w:val="32"/>
          <w:szCs w:val="32"/>
          <w:lang w:val="en-US" w:eastAsia="zh-CN"/>
        </w:rPr>
        <w:t>59.26</w:t>
      </w:r>
      <w:r>
        <w:rPr>
          <w:rFonts w:hint="eastAsia" w:ascii="仿宋_GB2312" w:hAnsi="仿宋_GB2312" w:eastAsia="仿宋_GB2312" w:cs="仿宋_GB2312"/>
          <w:color w:val="000000" w:themeColor="text1"/>
          <w:sz w:val="32"/>
          <w:szCs w:val="32"/>
        </w:rPr>
        <w:t>%；；其他固定资产</w:t>
      </w:r>
      <w:r>
        <w:rPr>
          <w:rFonts w:hint="eastAsia" w:ascii="仿宋_GB2312" w:hAnsi="仿宋_GB2312" w:eastAsia="仿宋_GB2312" w:cs="仿宋_GB2312"/>
          <w:color w:val="000000" w:themeColor="text1"/>
          <w:sz w:val="32"/>
          <w:szCs w:val="32"/>
          <w:lang w:val="en-US" w:eastAsia="zh-CN"/>
        </w:rPr>
        <w:t>94.16</w:t>
      </w:r>
      <w:r>
        <w:rPr>
          <w:rFonts w:hint="eastAsia" w:ascii="仿宋_GB2312" w:eastAsia="仿宋_GB2312"/>
          <w:sz w:val="32"/>
          <w:szCs w:val="32"/>
          <w:lang w:val="en-US" w:eastAsia="zh-CN"/>
        </w:rPr>
        <w:t>万</w:t>
      </w:r>
      <w:r>
        <w:rPr>
          <w:rFonts w:hint="eastAsia" w:ascii="仿宋_GB2312" w:eastAsia="仿宋_GB2312"/>
          <w:sz w:val="32"/>
          <w:szCs w:val="32"/>
        </w:rPr>
        <w:t>元</w:t>
      </w:r>
      <w:r>
        <w:rPr>
          <w:rFonts w:hint="eastAsia" w:ascii="仿宋_GB2312" w:hAnsi="仿宋_GB2312" w:eastAsia="仿宋_GB2312" w:cs="仿宋_GB2312"/>
          <w:color w:val="000000" w:themeColor="text1"/>
          <w:sz w:val="32"/>
          <w:szCs w:val="32"/>
        </w:rPr>
        <w:t>，占资产总额的</w:t>
      </w:r>
      <w:r>
        <w:rPr>
          <w:rFonts w:hint="eastAsia" w:ascii="仿宋_GB2312" w:hAnsi="仿宋_GB2312" w:eastAsia="仿宋_GB2312" w:cs="仿宋_GB2312"/>
          <w:color w:val="000000" w:themeColor="text1"/>
          <w:sz w:val="32"/>
          <w:szCs w:val="32"/>
          <w:lang w:val="en-US" w:eastAsia="zh-CN"/>
        </w:rPr>
        <w:t>40.74</w:t>
      </w:r>
      <w:r>
        <w:rPr>
          <w:rFonts w:hint="eastAsia" w:ascii="仿宋_GB2312" w:hAnsi="仿宋_GB2312" w:eastAsia="仿宋_GB2312" w:cs="仿宋_GB2312"/>
          <w:color w:val="000000" w:themeColor="text1"/>
          <w:sz w:val="32"/>
          <w:szCs w:val="32"/>
        </w:rPr>
        <w:t>%。</w:t>
      </w:r>
    </w:p>
    <w:p>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（三）政府采购情况。</w:t>
      </w:r>
      <w:r>
        <w:rPr>
          <w:rFonts w:hint="eastAsia" w:ascii="仿宋_GB2312" w:hAnsi="仿宋_GB2312" w:eastAsia="仿宋_GB2312" w:cs="仿宋_GB2312"/>
          <w:color w:val="000000" w:themeColor="text1"/>
          <w:sz w:val="32"/>
          <w:szCs w:val="32"/>
        </w:rPr>
        <w:t>工布江达县加兴乡卫生院</w:t>
      </w:r>
      <w:r>
        <w:rPr>
          <w:rFonts w:hint="eastAsia" w:ascii="仿宋_GB2312" w:hAnsi="仿宋_GB2312" w:eastAsia="仿宋_GB2312" w:cs="仿宋_GB2312"/>
          <w:color w:val="000000" w:themeColor="text1"/>
          <w:sz w:val="32"/>
          <w:szCs w:val="32"/>
          <w:lang w:val="en-US" w:eastAsia="zh-CN"/>
        </w:rPr>
        <w:t>2023</w:t>
      </w:r>
      <w:r>
        <w:rPr>
          <w:rFonts w:hint="eastAsia" w:ascii="仿宋_GB2312" w:hAnsi="仿宋_GB2312" w:eastAsia="仿宋_GB2312" w:cs="仿宋_GB2312"/>
          <w:color w:val="000000" w:themeColor="text1"/>
          <w:sz w:val="32"/>
          <w:szCs w:val="32"/>
        </w:rPr>
        <w:t>年度无政府采购。</w:t>
      </w:r>
    </w:p>
    <w:p>
      <w:pPr>
        <w:pStyle w:val="5"/>
        <w:spacing w:line="720" w:lineRule="auto"/>
        <w:ind w:firstLine="480"/>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（四）预算绩效情况。</w:t>
      </w:r>
    </w:p>
    <w:p>
      <w:pPr>
        <w:pStyle w:val="5"/>
        <w:spacing w:line="720" w:lineRule="auto"/>
        <w:ind w:firstLine="480"/>
        <w:rPr>
          <w:rFonts w:hint="eastAsia" w:ascii="仿宋_GB2312" w:hAnsi="仿宋_GB2312" w:eastAsia="仿宋_GB2312" w:cs="仿宋_GB2312"/>
          <w:color w:val="000000" w:themeColor="text1"/>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rPr>
        <w:t>1.2024年绩效情况说明：本单位按照财政预算绩效管理相关要求，明确预算绩效管理目标，强化预算绩效管理责任，完善预算绩效管理制度，做好本单位2024年度预算资金绩效评价工作,第一步，按照要求将对上一年部门预算做整体绩效自评工作，并做2024年预算资金绩效目标表，并作出详细规划；第二步，在次年上旬根据已经上报的2024预算绩效目标表对目前的预算资金进行跟踪及自评。2.2024年重点项目预算绩效目标2.2024年本单位无重点项目</w:t>
      </w:r>
    </w:p>
    <w:p>
      <w:pPr>
        <w:pStyle w:val="5"/>
        <w:spacing w:line="720" w:lineRule="auto"/>
        <w:ind w:firstLine="480"/>
        <w:rPr>
          <w:rFonts w:hint="eastAsia" w:ascii="仿宋_GB2312" w:hAnsi="仿宋_GB2312" w:eastAsia="仿宋_GB2312" w:cs="仿宋_GB2312"/>
          <w:color w:val="000000" w:themeColor="text1"/>
          <w:kern w:val="2"/>
          <w:sz w:val="32"/>
          <w:szCs w:val="32"/>
          <w:lang w:val="en-US" w:eastAsia="zh-CN" w:bidi="ar-SA"/>
        </w:rPr>
      </w:pPr>
      <w:r>
        <w:rPr>
          <w:rFonts w:hint="eastAsia" w:ascii="仿宋_GB2312" w:hAnsi="仿宋_GB2312" w:eastAsia="仿宋_GB2312" w:cs="仿宋_GB2312"/>
          <w:b/>
          <w:bCs/>
          <w:color w:val="000000" w:themeColor="text1"/>
          <w:sz w:val="32"/>
          <w:szCs w:val="32"/>
        </w:rPr>
        <w:t>（五）扶贫资金管理使用情况说明及绩效目标</w:t>
      </w:r>
      <w:r>
        <w:rPr>
          <w:rFonts w:hint="eastAsia" w:ascii="仿宋_GB2312" w:hAnsi="仿宋_GB2312" w:eastAsia="仿宋_GB2312" w:cs="仿宋_GB2312"/>
          <w:b/>
          <w:bCs/>
          <w:color w:val="000000" w:themeColor="text1"/>
          <w:sz w:val="32"/>
          <w:szCs w:val="32"/>
          <w:lang w:eastAsia="zh-CN"/>
        </w:rPr>
        <w:t>。</w:t>
      </w:r>
      <w:r>
        <w:rPr>
          <w:rFonts w:hint="eastAsia" w:ascii="仿宋_GB2312" w:hAnsi="仿宋_GB2312" w:eastAsia="仿宋_GB2312" w:cs="仿宋_GB2312"/>
          <w:color w:val="000000" w:themeColor="text1"/>
          <w:kern w:val="2"/>
          <w:sz w:val="32"/>
          <w:szCs w:val="32"/>
          <w:lang w:val="en-US" w:eastAsia="zh-CN" w:bidi="ar-SA"/>
        </w:rPr>
        <w:t>2024年本单位无扶贫资金</w:t>
      </w:r>
    </w:p>
    <w:p>
      <w:pPr>
        <w:pStyle w:val="5"/>
        <w:spacing w:before="0" w:beforeAutospacing="0" w:after="0" w:afterAutospacing="0" w:line="720" w:lineRule="auto"/>
        <w:ind w:firstLine="480"/>
        <w:rPr>
          <w:rFonts w:hint="eastAsia" w:ascii="仿宋_GB2312" w:hAnsi="仿宋_GB2312" w:eastAsia="仿宋_GB2312" w:cs="仿宋_GB2312"/>
          <w:color w:val="000000" w:themeColor="text1"/>
          <w:kern w:val="2"/>
          <w:sz w:val="32"/>
          <w:szCs w:val="32"/>
          <w:lang w:val="en-US" w:eastAsia="zh-CN" w:bidi="ar-SA"/>
        </w:rPr>
      </w:pPr>
      <w:r>
        <w:rPr>
          <w:rFonts w:hint="eastAsia" w:ascii="仿宋_GB2312" w:hAnsi="仿宋_GB2312" w:eastAsia="仿宋_GB2312" w:cs="仿宋_GB2312"/>
          <w:b/>
          <w:bCs/>
          <w:color w:val="000000" w:themeColor="text1"/>
          <w:sz w:val="32"/>
          <w:szCs w:val="32"/>
        </w:rPr>
        <w:t>（六）政府债务情况</w:t>
      </w:r>
      <w:r>
        <w:rPr>
          <w:rFonts w:hint="eastAsia" w:ascii="仿宋_GB2312" w:hAnsi="仿宋_GB2312" w:eastAsia="仿宋_GB2312" w:cs="仿宋_GB2312"/>
          <w:b/>
          <w:bCs/>
          <w:color w:val="000000" w:themeColor="text1"/>
          <w:sz w:val="32"/>
          <w:szCs w:val="32"/>
          <w:lang w:eastAsia="zh-CN"/>
        </w:rPr>
        <w:t>。</w:t>
      </w:r>
      <w:r>
        <w:rPr>
          <w:rFonts w:hint="eastAsia" w:ascii="仿宋_GB2312" w:hAnsi="仿宋_GB2312" w:eastAsia="仿宋_GB2312" w:cs="仿宋_GB2312"/>
          <w:color w:val="000000" w:themeColor="text1"/>
          <w:kern w:val="2"/>
          <w:sz w:val="32"/>
          <w:szCs w:val="32"/>
          <w:lang w:val="en-US" w:eastAsia="zh-CN" w:bidi="ar-SA"/>
        </w:rPr>
        <w:t>截止2024年2.月05日，工布江达县加兴乡卫生院未曾举借债务，无待回购股权投资和应付工程物资款，并在债务监测平台上按月上报无债务情况。</w:t>
      </w:r>
    </w:p>
    <w:p>
      <w:pPr>
        <w:pStyle w:val="5"/>
        <w:keepNext w:val="0"/>
        <w:keepLines w:val="0"/>
        <w:pageBreakBefore w:val="0"/>
        <w:widowControl w:val="0"/>
        <w:numPr>
          <w:ilvl w:val="0"/>
          <w:numId w:val="0"/>
        </w:numPr>
        <w:tabs>
          <w:tab w:val="center" w:pos="4393"/>
        </w:tabs>
        <w:kinsoku/>
        <w:wordWrap/>
        <w:overflowPunct/>
        <w:topLinePunct w:val="0"/>
        <w:autoSpaceDE/>
        <w:autoSpaceDN/>
        <w:bidi w:val="0"/>
        <w:adjustRightInd/>
        <w:snapToGrid/>
        <w:spacing w:before="0" w:beforeAutospacing="0" w:after="0" w:afterAutospacing="0" w:line="576" w:lineRule="exact"/>
        <w:ind w:left="0" w:leftChars="0" w:right="0" w:rightChars="0" w:firstLine="2200" w:firstLineChars="500"/>
        <w:jc w:val="both"/>
        <w:textAlignment w:val="auto"/>
        <w:outlineLvl w:val="9"/>
        <w:rPr>
          <w:rFonts w:hint="eastAsia" w:ascii="方正小标宋简体" w:hAnsi="方正小标宋简体" w:eastAsia="方正小标宋简体" w:cs="方正小标宋简体"/>
          <w:kern w:val="2"/>
          <w:sz w:val="44"/>
          <w:szCs w:val="44"/>
          <w:lang w:val="en-US" w:eastAsia="zh-CN" w:bidi="ar-SA"/>
        </w:rPr>
      </w:pPr>
    </w:p>
    <w:p>
      <w:pPr>
        <w:pStyle w:val="5"/>
        <w:numPr>
          <w:ilvl w:val="0"/>
          <w:numId w:val="0"/>
        </w:numPr>
        <w:spacing w:before="0" w:beforeAutospacing="0" w:after="0" w:afterAutospacing="0" w:line="720" w:lineRule="auto"/>
        <w:ind w:left="480" w:leftChars="0" w:right="0" w:right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第四部分 名词解释</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一、一般公共预算拨款收入，</w:t>
      </w:r>
      <w:r>
        <w:rPr>
          <w:rFonts w:hint="eastAsia" w:ascii="仿宋_GB2312" w:hAnsi="仿宋_GB2312" w:eastAsia="仿宋_GB2312" w:cs="仿宋_GB2312"/>
          <w:sz w:val="32"/>
          <w:szCs w:val="32"/>
        </w:rPr>
        <w:t>指财政当年拨付的资金。</w:t>
      </w:r>
    </w:p>
    <w:p>
      <w:pPr>
        <w:ind w:firstLine="630" w:firstLineChars="196"/>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二、</w:t>
      </w:r>
      <w:r>
        <w:rPr>
          <w:rFonts w:hint="eastAsia" w:ascii="仿宋_GB2312" w:eastAsia="仿宋_GB2312"/>
          <w:b/>
          <w:kern w:val="0"/>
          <w:sz w:val="32"/>
          <w:szCs w:val="32"/>
        </w:rPr>
        <w:t>社会保障和就业支出</w:t>
      </w:r>
      <w:r>
        <w:rPr>
          <w:rFonts w:hint="eastAsia" w:ascii="仿宋_GB2312" w:eastAsia="仿宋_GB2312"/>
          <w:b/>
          <w:kern w:val="0"/>
          <w:sz w:val="32"/>
          <w:szCs w:val="32"/>
          <w:lang w:eastAsia="zh-CN"/>
        </w:rPr>
        <w:t>，</w:t>
      </w:r>
      <w:r>
        <w:rPr>
          <w:rFonts w:hint="eastAsia" w:ascii="仿宋_GB2312" w:hAnsi="仿宋_GB2312" w:eastAsia="仿宋_GB2312" w:cs="仿宋_GB2312"/>
          <w:sz w:val="32"/>
          <w:szCs w:val="32"/>
          <w:lang w:eastAsia="zh-CN"/>
        </w:rPr>
        <w:t>反映政府在社会保障与就业方面的支出。</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三、卫生健康支出</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反映政府</w:t>
      </w:r>
      <w:r>
        <w:rPr>
          <w:rFonts w:hint="eastAsia" w:ascii="仿宋_GB2312" w:hAnsi="仿宋_GB2312" w:eastAsia="仿宋_GB2312" w:cs="仿宋_GB2312"/>
          <w:sz w:val="32"/>
          <w:szCs w:val="32"/>
          <w:lang w:eastAsia="zh-CN"/>
        </w:rPr>
        <w:t>卫生健康方面的支出</w:t>
      </w:r>
      <w:r>
        <w:rPr>
          <w:rFonts w:hint="eastAsia" w:ascii="仿宋_GB2312" w:hAnsi="仿宋_GB2312" w:eastAsia="仿宋_GB2312" w:cs="仿宋_GB2312"/>
          <w:sz w:val="32"/>
          <w:szCs w:val="32"/>
        </w:rPr>
        <w:t>。</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、住房保障支出（类）住房改革支出（款），</w:t>
      </w:r>
      <w:r>
        <w:rPr>
          <w:rFonts w:hint="eastAsia" w:ascii="仿宋_GB2312" w:hAnsi="仿宋_GB2312" w:eastAsia="仿宋_GB2312" w:cs="仿宋_GB2312"/>
          <w:sz w:val="32"/>
          <w:szCs w:val="32"/>
        </w:rPr>
        <w:t>指按照国家政策规定用于住房改革方面的支出。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w:t>
      </w:r>
      <w:r>
        <w:rPr>
          <w:rFonts w:hint="eastAsia" w:ascii="仿宋_GB2312" w:hAnsi="仿宋_GB2312" w:eastAsia="仿宋_GB2312" w:cs="仿宋_GB2312"/>
          <w:sz w:val="32"/>
          <w:szCs w:val="32"/>
        </w:rPr>
        <w:t>指纳入中央财政预算管理的“三公</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30" w:firstLineChars="196"/>
        <w:jc w:val="left"/>
        <w:rPr>
          <w:rFonts w:ascii="黑体" w:eastAsia="黑体"/>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、机关运行经费，</w:t>
      </w:r>
      <w:r>
        <w:rPr>
          <w:rFonts w:hint="eastAsia" w:ascii="仿宋_GB2312" w:hAnsi="仿宋_GB2312" w:eastAsia="仿宋_GB2312" w:cs="仿宋_GB2312"/>
          <w:sz w:val="32"/>
          <w:szCs w:val="32"/>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76" w:lineRule="exact"/>
        <w:ind w:left="0" w:firstLine="640" w:firstLineChars="200"/>
        <w:jc w:val="both"/>
        <w:textAlignment w:val="auto"/>
        <w:outlineLvl w:val="9"/>
        <w:rPr>
          <w:rFonts w:ascii="黑体" w:eastAsia="黑体"/>
          <w:sz w:val="32"/>
          <w:szCs w:val="32"/>
        </w:rPr>
      </w:pPr>
    </w:p>
    <w:sectPr>
      <w:pgSz w:w="11906" w:h="16838"/>
      <w:pgMar w:top="1587" w:right="1247"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9513B"/>
    <w:multiLevelType w:val="singleLevel"/>
    <w:tmpl w:val="CD99513B"/>
    <w:lvl w:ilvl="0" w:tentative="0">
      <w:start w:val="1"/>
      <w:numFmt w:val="chineseCounting"/>
      <w:suff w:val="space"/>
      <w:lvlText w:val="第%1部分"/>
      <w:lvlJc w:val="left"/>
      <w:rPr>
        <w:rFonts w:hint="eastAsia"/>
      </w:rPr>
    </w:lvl>
  </w:abstractNum>
  <w:abstractNum w:abstractNumId="1">
    <w:nsid w:val="25B3D507"/>
    <w:multiLevelType w:val="singleLevel"/>
    <w:tmpl w:val="25B3D507"/>
    <w:lvl w:ilvl="0" w:tentative="0">
      <w:start w:val="8"/>
      <w:numFmt w:val="chineseCounting"/>
      <w:suff w:val="nothing"/>
      <w:lvlText w:val="%1、"/>
      <w:lvlJc w:val="left"/>
      <w:pPr>
        <w:ind w:left="-27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U4NzFiODJmM2I1NmVhMzZjYjdkMWNlMDAyYTY4NWQifQ=="/>
  </w:docVars>
  <w:rsids>
    <w:rsidRoot w:val="00FB05B8"/>
    <w:rsid w:val="0003368D"/>
    <w:rsid w:val="00043D60"/>
    <w:rsid w:val="00054E45"/>
    <w:rsid w:val="00072394"/>
    <w:rsid w:val="00072BA3"/>
    <w:rsid w:val="000A2894"/>
    <w:rsid w:val="000A5378"/>
    <w:rsid w:val="000D29B6"/>
    <w:rsid w:val="000D4985"/>
    <w:rsid w:val="000D6905"/>
    <w:rsid w:val="000F0121"/>
    <w:rsid w:val="000F47C9"/>
    <w:rsid w:val="000F6A73"/>
    <w:rsid w:val="00127E60"/>
    <w:rsid w:val="001317C0"/>
    <w:rsid w:val="0014514F"/>
    <w:rsid w:val="00182F3B"/>
    <w:rsid w:val="001853F5"/>
    <w:rsid w:val="00192643"/>
    <w:rsid w:val="001B30D4"/>
    <w:rsid w:val="001C0F82"/>
    <w:rsid w:val="001D7F86"/>
    <w:rsid w:val="001E4DCF"/>
    <w:rsid w:val="001F294F"/>
    <w:rsid w:val="001F3F40"/>
    <w:rsid w:val="0020740D"/>
    <w:rsid w:val="00217593"/>
    <w:rsid w:val="00220150"/>
    <w:rsid w:val="00262EA0"/>
    <w:rsid w:val="002775B8"/>
    <w:rsid w:val="002817C5"/>
    <w:rsid w:val="00282EB1"/>
    <w:rsid w:val="002A19A7"/>
    <w:rsid w:val="002A4653"/>
    <w:rsid w:val="002A5965"/>
    <w:rsid w:val="002D72FE"/>
    <w:rsid w:val="002E7870"/>
    <w:rsid w:val="002F4A21"/>
    <w:rsid w:val="002F5DE7"/>
    <w:rsid w:val="0031038C"/>
    <w:rsid w:val="00310CD7"/>
    <w:rsid w:val="00320A35"/>
    <w:rsid w:val="0036111C"/>
    <w:rsid w:val="00391807"/>
    <w:rsid w:val="003D2184"/>
    <w:rsid w:val="00421658"/>
    <w:rsid w:val="004257BA"/>
    <w:rsid w:val="00426560"/>
    <w:rsid w:val="00433ACE"/>
    <w:rsid w:val="004349E9"/>
    <w:rsid w:val="00440864"/>
    <w:rsid w:val="00441532"/>
    <w:rsid w:val="00445D51"/>
    <w:rsid w:val="004667A3"/>
    <w:rsid w:val="00493967"/>
    <w:rsid w:val="004A2C48"/>
    <w:rsid w:val="004A3D10"/>
    <w:rsid w:val="004B3831"/>
    <w:rsid w:val="004C3FAF"/>
    <w:rsid w:val="004C65D0"/>
    <w:rsid w:val="004D6DBC"/>
    <w:rsid w:val="005142AB"/>
    <w:rsid w:val="00516720"/>
    <w:rsid w:val="00520B00"/>
    <w:rsid w:val="005320AE"/>
    <w:rsid w:val="0053331B"/>
    <w:rsid w:val="00546D0D"/>
    <w:rsid w:val="0059034B"/>
    <w:rsid w:val="005A52FC"/>
    <w:rsid w:val="00604C88"/>
    <w:rsid w:val="00605CFB"/>
    <w:rsid w:val="00642876"/>
    <w:rsid w:val="006A4063"/>
    <w:rsid w:val="006E726A"/>
    <w:rsid w:val="00705358"/>
    <w:rsid w:val="00711995"/>
    <w:rsid w:val="00713412"/>
    <w:rsid w:val="00725BB3"/>
    <w:rsid w:val="00730C30"/>
    <w:rsid w:val="00741A8B"/>
    <w:rsid w:val="00743D17"/>
    <w:rsid w:val="00755392"/>
    <w:rsid w:val="00777A2B"/>
    <w:rsid w:val="0078602E"/>
    <w:rsid w:val="007955C4"/>
    <w:rsid w:val="007D5217"/>
    <w:rsid w:val="007E301B"/>
    <w:rsid w:val="008029FA"/>
    <w:rsid w:val="00803ADC"/>
    <w:rsid w:val="00804F42"/>
    <w:rsid w:val="00806198"/>
    <w:rsid w:val="00815254"/>
    <w:rsid w:val="00821F41"/>
    <w:rsid w:val="008235BF"/>
    <w:rsid w:val="008353D4"/>
    <w:rsid w:val="00872F0E"/>
    <w:rsid w:val="00886BE8"/>
    <w:rsid w:val="008B2AA9"/>
    <w:rsid w:val="008C1908"/>
    <w:rsid w:val="008C4658"/>
    <w:rsid w:val="008C5A9F"/>
    <w:rsid w:val="00900172"/>
    <w:rsid w:val="009028C4"/>
    <w:rsid w:val="009033F7"/>
    <w:rsid w:val="00926570"/>
    <w:rsid w:val="00955CEC"/>
    <w:rsid w:val="009B0039"/>
    <w:rsid w:val="009B775A"/>
    <w:rsid w:val="009E3CF4"/>
    <w:rsid w:val="00A0051C"/>
    <w:rsid w:val="00A0582B"/>
    <w:rsid w:val="00A20FB5"/>
    <w:rsid w:val="00A26EDD"/>
    <w:rsid w:val="00A3486D"/>
    <w:rsid w:val="00A559DA"/>
    <w:rsid w:val="00A6326B"/>
    <w:rsid w:val="00A70E1E"/>
    <w:rsid w:val="00AD7F12"/>
    <w:rsid w:val="00B07069"/>
    <w:rsid w:val="00B20D15"/>
    <w:rsid w:val="00B3446A"/>
    <w:rsid w:val="00B614C3"/>
    <w:rsid w:val="00B716A8"/>
    <w:rsid w:val="00B75A89"/>
    <w:rsid w:val="00B84DBD"/>
    <w:rsid w:val="00B87F89"/>
    <w:rsid w:val="00B971E2"/>
    <w:rsid w:val="00BA5367"/>
    <w:rsid w:val="00BC2BE3"/>
    <w:rsid w:val="00BC7346"/>
    <w:rsid w:val="00C122A7"/>
    <w:rsid w:val="00C2739C"/>
    <w:rsid w:val="00C479CE"/>
    <w:rsid w:val="00C50016"/>
    <w:rsid w:val="00C8046F"/>
    <w:rsid w:val="00C811F5"/>
    <w:rsid w:val="00C94114"/>
    <w:rsid w:val="00CC338D"/>
    <w:rsid w:val="00CD78D5"/>
    <w:rsid w:val="00CE5853"/>
    <w:rsid w:val="00D06EA8"/>
    <w:rsid w:val="00D41104"/>
    <w:rsid w:val="00D57AA9"/>
    <w:rsid w:val="00D71343"/>
    <w:rsid w:val="00D7224C"/>
    <w:rsid w:val="00DB6465"/>
    <w:rsid w:val="00DF56D0"/>
    <w:rsid w:val="00E30894"/>
    <w:rsid w:val="00E43A76"/>
    <w:rsid w:val="00E43DB9"/>
    <w:rsid w:val="00E52403"/>
    <w:rsid w:val="00E6504C"/>
    <w:rsid w:val="00E66B93"/>
    <w:rsid w:val="00E75F86"/>
    <w:rsid w:val="00E809B6"/>
    <w:rsid w:val="00EA30DA"/>
    <w:rsid w:val="00EE4400"/>
    <w:rsid w:val="00F24C6F"/>
    <w:rsid w:val="00F541AA"/>
    <w:rsid w:val="00F57203"/>
    <w:rsid w:val="00F63A1A"/>
    <w:rsid w:val="00F93BD0"/>
    <w:rsid w:val="00F9475B"/>
    <w:rsid w:val="00F95DE0"/>
    <w:rsid w:val="00FB05B8"/>
    <w:rsid w:val="00FB76B5"/>
    <w:rsid w:val="00FC022B"/>
    <w:rsid w:val="00FC5851"/>
    <w:rsid w:val="012A5D20"/>
    <w:rsid w:val="024F6EA9"/>
    <w:rsid w:val="02611EB5"/>
    <w:rsid w:val="02720AE2"/>
    <w:rsid w:val="02A65BFA"/>
    <w:rsid w:val="04003484"/>
    <w:rsid w:val="044303B8"/>
    <w:rsid w:val="04D4409E"/>
    <w:rsid w:val="04F83843"/>
    <w:rsid w:val="05876CE6"/>
    <w:rsid w:val="05A85453"/>
    <w:rsid w:val="05DB5D7A"/>
    <w:rsid w:val="06A3711C"/>
    <w:rsid w:val="06EA2EF8"/>
    <w:rsid w:val="07172768"/>
    <w:rsid w:val="073C18F2"/>
    <w:rsid w:val="074A376B"/>
    <w:rsid w:val="07F85AA0"/>
    <w:rsid w:val="08203EA0"/>
    <w:rsid w:val="08530253"/>
    <w:rsid w:val="08F1736D"/>
    <w:rsid w:val="08FB0103"/>
    <w:rsid w:val="096060FC"/>
    <w:rsid w:val="096817A6"/>
    <w:rsid w:val="09860983"/>
    <w:rsid w:val="09A6009B"/>
    <w:rsid w:val="0A306C7B"/>
    <w:rsid w:val="0ADE7692"/>
    <w:rsid w:val="0B6E455E"/>
    <w:rsid w:val="0B856E3E"/>
    <w:rsid w:val="0BD52FE5"/>
    <w:rsid w:val="0BE0523C"/>
    <w:rsid w:val="0BF867B0"/>
    <w:rsid w:val="0C77180B"/>
    <w:rsid w:val="0CDB6127"/>
    <w:rsid w:val="0D480ADB"/>
    <w:rsid w:val="0EF747EF"/>
    <w:rsid w:val="0F21456F"/>
    <w:rsid w:val="0F316F6A"/>
    <w:rsid w:val="0F6F05EF"/>
    <w:rsid w:val="0F8D15D9"/>
    <w:rsid w:val="0FA545E9"/>
    <w:rsid w:val="0FB06305"/>
    <w:rsid w:val="0FD035C0"/>
    <w:rsid w:val="10650513"/>
    <w:rsid w:val="108C217A"/>
    <w:rsid w:val="10A57177"/>
    <w:rsid w:val="110D333B"/>
    <w:rsid w:val="11B51743"/>
    <w:rsid w:val="12B03BEF"/>
    <w:rsid w:val="135835D7"/>
    <w:rsid w:val="135E3A97"/>
    <w:rsid w:val="1395385B"/>
    <w:rsid w:val="152156F5"/>
    <w:rsid w:val="163B5D25"/>
    <w:rsid w:val="165540F7"/>
    <w:rsid w:val="16D0161D"/>
    <w:rsid w:val="16DE6305"/>
    <w:rsid w:val="16E04157"/>
    <w:rsid w:val="16F34A69"/>
    <w:rsid w:val="16FC5CDE"/>
    <w:rsid w:val="17B5597E"/>
    <w:rsid w:val="187E5038"/>
    <w:rsid w:val="18B14676"/>
    <w:rsid w:val="190A6452"/>
    <w:rsid w:val="192F76CC"/>
    <w:rsid w:val="19593AF3"/>
    <w:rsid w:val="1B56326D"/>
    <w:rsid w:val="1BCA1CF4"/>
    <w:rsid w:val="1BDB66C0"/>
    <w:rsid w:val="1E346B24"/>
    <w:rsid w:val="1E7F0C4B"/>
    <w:rsid w:val="1EFD726D"/>
    <w:rsid w:val="1FD1226A"/>
    <w:rsid w:val="1FD94AAB"/>
    <w:rsid w:val="209416BB"/>
    <w:rsid w:val="20F213C4"/>
    <w:rsid w:val="210E41C1"/>
    <w:rsid w:val="21BB794A"/>
    <w:rsid w:val="22FE1F06"/>
    <w:rsid w:val="232B741E"/>
    <w:rsid w:val="24111402"/>
    <w:rsid w:val="245B2623"/>
    <w:rsid w:val="247460EA"/>
    <w:rsid w:val="24951BC6"/>
    <w:rsid w:val="25377531"/>
    <w:rsid w:val="25712A18"/>
    <w:rsid w:val="26492540"/>
    <w:rsid w:val="264E17DF"/>
    <w:rsid w:val="2747091F"/>
    <w:rsid w:val="28384C20"/>
    <w:rsid w:val="285A414A"/>
    <w:rsid w:val="28761BA9"/>
    <w:rsid w:val="28C6713F"/>
    <w:rsid w:val="28E474A3"/>
    <w:rsid w:val="291830E6"/>
    <w:rsid w:val="29466333"/>
    <w:rsid w:val="297E61DF"/>
    <w:rsid w:val="2A56709B"/>
    <w:rsid w:val="2AAC630B"/>
    <w:rsid w:val="2ACA76BF"/>
    <w:rsid w:val="2BF4788F"/>
    <w:rsid w:val="2C29612E"/>
    <w:rsid w:val="2C80609E"/>
    <w:rsid w:val="2CF22C99"/>
    <w:rsid w:val="2D3A1DA0"/>
    <w:rsid w:val="2E0B59BD"/>
    <w:rsid w:val="2E445AAD"/>
    <w:rsid w:val="2E514D82"/>
    <w:rsid w:val="2E5B07C7"/>
    <w:rsid w:val="2F032545"/>
    <w:rsid w:val="30367154"/>
    <w:rsid w:val="30376BFA"/>
    <w:rsid w:val="30550B9E"/>
    <w:rsid w:val="312B3869"/>
    <w:rsid w:val="317E202D"/>
    <w:rsid w:val="317E6EDF"/>
    <w:rsid w:val="31B612EB"/>
    <w:rsid w:val="31D000CC"/>
    <w:rsid w:val="321A21FD"/>
    <w:rsid w:val="329E4E57"/>
    <w:rsid w:val="32E04894"/>
    <w:rsid w:val="33A35BA9"/>
    <w:rsid w:val="33CF53FC"/>
    <w:rsid w:val="3446736C"/>
    <w:rsid w:val="344A0989"/>
    <w:rsid w:val="34835E46"/>
    <w:rsid w:val="3485663E"/>
    <w:rsid w:val="34BD0F80"/>
    <w:rsid w:val="34CF1648"/>
    <w:rsid w:val="357350E0"/>
    <w:rsid w:val="3676576D"/>
    <w:rsid w:val="36874DE8"/>
    <w:rsid w:val="375471CC"/>
    <w:rsid w:val="378C7DF1"/>
    <w:rsid w:val="38073AD8"/>
    <w:rsid w:val="38095399"/>
    <w:rsid w:val="38BC234C"/>
    <w:rsid w:val="39070AAC"/>
    <w:rsid w:val="399B3386"/>
    <w:rsid w:val="39B33211"/>
    <w:rsid w:val="3A797216"/>
    <w:rsid w:val="3A7C73CF"/>
    <w:rsid w:val="3B0C6179"/>
    <w:rsid w:val="3B4D2002"/>
    <w:rsid w:val="3B4E23EE"/>
    <w:rsid w:val="3BC1238F"/>
    <w:rsid w:val="3C4436B9"/>
    <w:rsid w:val="3CB210F9"/>
    <w:rsid w:val="3CBD5645"/>
    <w:rsid w:val="3CC75E4F"/>
    <w:rsid w:val="3CD109B3"/>
    <w:rsid w:val="3CEA74F1"/>
    <w:rsid w:val="3D195183"/>
    <w:rsid w:val="3D3062EC"/>
    <w:rsid w:val="3D503AB7"/>
    <w:rsid w:val="3D5C645B"/>
    <w:rsid w:val="3D8D58F0"/>
    <w:rsid w:val="3D8D5FBE"/>
    <w:rsid w:val="3E217686"/>
    <w:rsid w:val="3F3D4B22"/>
    <w:rsid w:val="3F6C7200"/>
    <w:rsid w:val="3F9755CD"/>
    <w:rsid w:val="3FE41467"/>
    <w:rsid w:val="3FF53D56"/>
    <w:rsid w:val="40286449"/>
    <w:rsid w:val="403800F3"/>
    <w:rsid w:val="40492DA3"/>
    <w:rsid w:val="408935C1"/>
    <w:rsid w:val="409E5913"/>
    <w:rsid w:val="40CA68F1"/>
    <w:rsid w:val="41B86346"/>
    <w:rsid w:val="420C10EB"/>
    <w:rsid w:val="42511D75"/>
    <w:rsid w:val="42A83BFB"/>
    <w:rsid w:val="42D66180"/>
    <w:rsid w:val="42EC1F53"/>
    <w:rsid w:val="437D5FC4"/>
    <w:rsid w:val="439139F3"/>
    <w:rsid w:val="43C13C54"/>
    <w:rsid w:val="43F7611F"/>
    <w:rsid w:val="44BB300F"/>
    <w:rsid w:val="45086256"/>
    <w:rsid w:val="45173192"/>
    <w:rsid w:val="45A90641"/>
    <w:rsid w:val="462E3B27"/>
    <w:rsid w:val="46483059"/>
    <w:rsid w:val="46DC65E3"/>
    <w:rsid w:val="4754240E"/>
    <w:rsid w:val="475F434B"/>
    <w:rsid w:val="478F68CC"/>
    <w:rsid w:val="47F76858"/>
    <w:rsid w:val="49223D72"/>
    <w:rsid w:val="4923621B"/>
    <w:rsid w:val="496756D2"/>
    <w:rsid w:val="49934DB0"/>
    <w:rsid w:val="4A3D70D8"/>
    <w:rsid w:val="4A614775"/>
    <w:rsid w:val="4A733E28"/>
    <w:rsid w:val="4A956CBA"/>
    <w:rsid w:val="4ABA4F2D"/>
    <w:rsid w:val="4AD24DCB"/>
    <w:rsid w:val="4AD95E99"/>
    <w:rsid w:val="4B2E1ADB"/>
    <w:rsid w:val="4B642E5E"/>
    <w:rsid w:val="4BEE6617"/>
    <w:rsid w:val="4C1D75B2"/>
    <w:rsid w:val="4C2A7D58"/>
    <w:rsid w:val="4C3F5A00"/>
    <w:rsid w:val="4C5913D3"/>
    <w:rsid w:val="4C5D4C28"/>
    <w:rsid w:val="4C6A0FBD"/>
    <w:rsid w:val="4C9C000F"/>
    <w:rsid w:val="4D7F478B"/>
    <w:rsid w:val="4D874AAC"/>
    <w:rsid w:val="4DC274ED"/>
    <w:rsid w:val="4E28589F"/>
    <w:rsid w:val="4E8804B9"/>
    <w:rsid w:val="4EF9715F"/>
    <w:rsid w:val="4FCC2F13"/>
    <w:rsid w:val="4FD37CD6"/>
    <w:rsid w:val="50A57883"/>
    <w:rsid w:val="52032445"/>
    <w:rsid w:val="538509B4"/>
    <w:rsid w:val="539A3E1D"/>
    <w:rsid w:val="53B37C2F"/>
    <w:rsid w:val="53EA44E5"/>
    <w:rsid w:val="53FB619B"/>
    <w:rsid w:val="5403612E"/>
    <w:rsid w:val="54573B38"/>
    <w:rsid w:val="54C03740"/>
    <w:rsid w:val="563C48A6"/>
    <w:rsid w:val="566E48AB"/>
    <w:rsid w:val="569223E2"/>
    <w:rsid w:val="56CA33E9"/>
    <w:rsid w:val="56E07C29"/>
    <w:rsid w:val="56F02EB6"/>
    <w:rsid w:val="572D2865"/>
    <w:rsid w:val="57454773"/>
    <w:rsid w:val="57FA6C8B"/>
    <w:rsid w:val="58433877"/>
    <w:rsid w:val="58452655"/>
    <w:rsid w:val="585331E1"/>
    <w:rsid w:val="59117DD8"/>
    <w:rsid w:val="599E5591"/>
    <w:rsid w:val="59C6323A"/>
    <w:rsid w:val="5A942F98"/>
    <w:rsid w:val="5A9E1DBE"/>
    <w:rsid w:val="5ABC4742"/>
    <w:rsid w:val="5B3D4085"/>
    <w:rsid w:val="5B8901C2"/>
    <w:rsid w:val="5BAF6C6D"/>
    <w:rsid w:val="5C516A25"/>
    <w:rsid w:val="5C8C3424"/>
    <w:rsid w:val="5C9E44AA"/>
    <w:rsid w:val="5CC727A9"/>
    <w:rsid w:val="5D295F00"/>
    <w:rsid w:val="5DCE611D"/>
    <w:rsid w:val="5DE21A1E"/>
    <w:rsid w:val="5E052ABB"/>
    <w:rsid w:val="5E806D56"/>
    <w:rsid w:val="5E897E30"/>
    <w:rsid w:val="5F030870"/>
    <w:rsid w:val="5FD01511"/>
    <w:rsid w:val="5FE87613"/>
    <w:rsid w:val="608800DB"/>
    <w:rsid w:val="609E1198"/>
    <w:rsid w:val="60B55E3E"/>
    <w:rsid w:val="60CB218D"/>
    <w:rsid w:val="626203AD"/>
    <w:rsid w:val="627B52A4"/>
    <w:rsid w:val="62961AA9"/>
    <w:rsid w:val="62D1648C"/>
    <w:rsid w:val="62F167CD"/>
    <w:rsid w:val="630731E7"/>
    <w:rsid w:val="635E2B60"/>
    <w:rsid w:val="63E91F09"/>
    <w:rsid w:val="64017CBF"/>
    <w:rsid w:val="64E5137B"/>
    <w:rsid w:val="65730E3E"/>
    <w:rsid w:val="660A4A70"/>
    <w:rsid w:val="66390098"/>
    <w:rsid w:val="664F03E1"/>
    <w:rsid w:val="66982511"/>
    <w:rsid w:val="671B2959"/>
    <w:rsid w:val="67FA0CAE"/>
    <w:rsid w:val="68692B49"/>
    <w:rsid w:val="687077C4"/>
    <w:rsid w:val="688F7026"/>
    <w:rsid w:val="6950366A"/>
    <w:rsid w:val="69545BE7"/>
    <w:rsid w:val="6A5F040C"/>
    <w:rsid w:val="6AD167F4"/>
    <w:rsid w:val="6B082FD5"/>
    <w:rsid w:val="6B625594"/>
    <w:rsid w:val="6B9808DA"/>
    <w:rsid w:val="6BED2D16"/>
    <w:rsid w:val="6C39192F"/>
    <w:rsid w:val="6D9D1D23"/>
    <w:rsid w:val="6DB9721B"/>
    <w:rsid w:val="6DE45C7B"/>
    <w:rsid w:val="6E0D449B"/>
    <w:rsid w:val="6E3B1437"/>
    <w:rsid w:val="6E3F73EA"/>
    <w:rsid w:val="6EB40D57"/>
    <w:rsid w:val="6EEA7A43"/>
    <w:rsid w:val="6F07618F"/>
    <w:rsid w:val="6F7C6BEB"/>
    <w:rsid w:val="70346664"/>
    <w:rsid w:val="70727289"/>
    <w:rsid w:val="70F9686F"/>
    <w:rsid w:val="71733E1E"/>
    <w:rsid w:val="72E34146"/>
    <w:rsid w:val="7392630E"/>
    <w:rsid w:val="739C7638"/>
    <w:rsid w:val="73A50FAB"/>
    <w:rsid w:val="73C42A41"/>
    <w:rsid w:val="74EB1CFE"/>
    <w:rsid w:val="75236212"/>
    <w:rsid w:val="76942F41"/>
    <w:rsid w:val="77A05E86"/>
    <w:rsid w:val="77B00025"/>
    <w:rsid w:val="77BA354C"/>
    <w:rsid w:val="78356B15"/>
    <w:rsid w:val="78AA7596"/>
    <w:rsid w:val="79253715"/>
    <w:rsid w:val="79787931"/>
    <w:rsid w:val="7AF306C4"/>
    <w:rsid w:val="7B727EDD"/>
    <w:rsid w:val="7B86336D"/>
    <w:rsid w:val="7BEC0542"/>
    <w:rsid w:val="7C7B4629"/>
    <w:rsid w:val="7CB565B6"/>
    <w:rsid w:val="7D0F6735"/>
    <w:rsid w:val="7D7061A6"/>
    <w:rsid w:val="7DD94CD3"/>
    <w:rsid w:val="7E3B11D7"/>
    <w:rsid w:val="7E610490"/>
    <w:rsid w:val="7E7B3EB0"/>
    <w:rsid w:val="7EB62390"/>
    <w:rsid w:val="7EBA3775"/>
    <w:rsid w:val="7F4C0206"/>
    <w:rsid w:val="7F870FA0"/>
    <w:rsid w:val="7FD93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0"/>
    <w:pPr>
      <w:ind w:firstLine="420" w:firstLineChars="200"/>
    </w:pPr>
    <w:rPr>
      <w:rFonts w:ascii="Calibri" w:hAnsi="Calibri" w:eastAsia="宋体" w:cs="Times New Roman"/>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34"/>
    <w:pPr>
      <w:ind w:firstLine="420" w:firstLineChars="200"/>
    </w:pPr>
  </w:style>
  <w:style w:type="paragraph" w:customStyle="1" w:styleId="13">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10</Pages>
  <Words>526</Words>
  <Characters>2999</Characters>
  <Lines>24</Lines>
  <Paragraphs>7</Paragraphs>
  <TotalTime>14</TotalTime>
  <ScaleCrop>false</ScaleCrop>
  <LinksUpToDate>false</LinksUpToDate>
  <CharactersWithSpaces>3518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2020-08-07T02:12:00Z</dcterms:created>
  <dc:creator>先红</dc:creator>
  <cp:lastModifiedBy>Administrator</cp:lastModifiedBy>
  <cp:lastPrinted>2022-02-09T04:21:00Z</cp:lastPrinted>
  <dcterms:modified xsi:type="dcterms:W3CDTF">2024-02-05T04:36:03Z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B3880279E1D44285B259ED41D5DCEFAE</vt:lpwstr>
  </property>
</Properties>
</file>