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西藏工布江达县</w:t>
      </w:r>
      <w:r>
        <w:rPr>
          <w:rFonts w:hint="eastAsia" w:ascii="方正小标宋简体" w:hAnsi="仿宋" w:eastAsia="方正小标宋简体"/>
          <w:sz w:val="44"/>
          <w:szCs w:val="44"/>
          <w:lang w:eastAsia="zh-CN"/>
        </w:rPr>
        <w:t>应急管理局</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西藏工布江达县</w:t>
      </w:r>
      <w:r>
        <w:rPr>
          <w:rFonts w:hint="eastAsia" w:ascii="方正小标宋简体" w:hAnsi="仿宋" w:eastAsia="方正小标宋简体"/>
          <w:sz w:val="32"/>
          <w:szCs w:val="32"/>
          <w:lang w:eastAsia="zh-CN"/>
        </w:rPr>
        <w:t>应急管理局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西藏工布江达县</w:t>
      </w:r>
      <w:r>
        <w:rPr>
          <w:rFonts w:hint="eastAsia" w:ascii="方正小标宋简体" w:hAnsi="仿宋" w:eastAsia="方正小标宋简体"/>
          <w:sz w:val="32"/>
          <w:szCs w:val="32"/>
          <w:lang w:eastAsia="zh-CN"/>
        </w:rPr>
        <w:t>应急管理局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西藏工布江达县</w:t>
      </w:r>
      <w:r>
        <w:rPr>
          <w:rFonts w:hint="eastAsia" w:ascii="方正小标宋简体" w:hAnsi="仿宋" w:eastAsia="方正小标宋简体"/>
          <w:sz w:val="32"/>
          <w:szCs w:val="32"/>
          <w:lang w:eastAsia="zh-CN"/>
        </w:rPr>
        <w:t>应急管理局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西藏工布江达县</w:t>
      </w:r>
      <w:r>
        <w:rPr>
          <w:rFonts w:hint="eastAsia" w:ascii="方正小标宋简体" w:hAnsi="仿宋" w:eastAsia="方正小标宋简体"/>
          <w:sz w:val="32"/>
          <w:szCs w:val="32"/>
          <w:lang w:eastAsia="zh-CN"/>
        </w:rPr>
        <w:t>应急管理局</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shd w:val="clear" w:color="auto" w:fill="FFFFFF"/>
        <w:spacing w:beforeLines="0" w:afterLines="0" w:line="576" w:lineRule="atLeast"/>
        <w:ind w:firstLine="420"/>
        <w:jc w:val="left"/>
        <w:rPr>
          <w:rFonts w:hint="eastAsia" w:ascii="仿宋_GB2312" w:hAnsi="仿宋_GB2312" w:eastAsia="仿宋_GB2312"/>
          <w:color w:val="000000"/>
          <w:sz w:val="21"/>
        </w:rPr>
      </w:pPr>
      <w:r>
        <w:rPr>
          <w:rFonts w:hint="eastAsia" w:ascii="仿宋_GB2312" w:hAnsi="仿宋_GB2312" w:eastAsia="仿宋_GB2312"/>
          <w:color w:val="000000"/>
          <w:kern w:val="0"/>
          <w:sz w:val="32"/>
          <w:shd w:val="clear" w:color="auto" w:fill="FFFFFF"/>
          <w:lang w:val="en-US" w:eastAsia="zh-CN"/>
        </w:rPr>
        <w:t>（一）部门职责</w:t>
      </w:r>
    </w:p>
    <w:p>
      <w:pPr>
        <w:pStyle w:val="5"/>
        <w:spacing w:before="0" w:beforeLines="0" w:beforeAutospacing="0" w:after="0" w:afterLines="0" w:afterAutospacing="0" w:line="576" w:lineRule="atLeast"/>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1.负责应急管理工作，指导各乡（镇）、各部门应对安全生产类、自然灾害类等突发事件和综合防灾减灾救灾工作。负责安全生产综合监督管理和工矿商贸行业安全生产监督管理工作。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2.拟订应急管理、安全生产政策，组织编制县应急体系建设、安全生产和综合防灾减灾规划，起草相关地方性法规和政府规章草案，组织制定有关规程和标准并监督实施。</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3.指导应急预案体系建设，执行事故灾难和自然灾害分级应对制度，组织编制县总体应急预案和安全生产类、自然灾害类专项预案，综合协调应急预案衔接工作，组织开展预案演练，推动应急避难设施建设。</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4.牵头建立统一的应急管理信息系统，负责信息传输渠道的规划和布局，建立监测预警和灾情报告制度，健全自然灾害信息资源获取和共享机制，依法统一发布灾情。</w:t>
      </w:r>
    </w:p>
    <w:p>
      <w:pPr>
        <w:pStyle w:val="5"/>
        <w:spacing w:before="0" w:beforeLines="0" w:beforeAutospacing="0" w:after="0" w:afterLines="0" w:afterAutospacing="0" w:line="576" w:lineRule="atLeast"/>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    5.组织指导协调安全生产类、自然灾害类等突发事件应急救援，承担县应对重大灾害指挥工作，综合研判突发事件发展态势并提出应对建议，协助县委、政府指定的负责同志组织重大灾害应急处置工作。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6.统一协调指挥各类应急专业队伍，建立应急协调联动机制，推进指挥平台对接，衔接解放军和武警部队参与应急救援工作。</w:t>
      </w:r>
    </w:p>
    <w:p>
      <w:pPr>
        <w:pStyle w:val="5"/>
        <w:spacing w:before="0" w:beforeLines="0" w:beforeAutospacing="0" w:after="0" w:afterLines="0" w:afterAutospacing="0" w:line="576" w:lineRule="atLeast"/>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    7.统筹应急救援力量建设，负责组织消防、森林和草原火灾扑救、抗洪抢险、地震和地质灾害救援、生产安全事故救援等专业应急救援力量建设，管理综合性应急救援队伍，指导各乡镇及社会应急救援力量建设。</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8.负责消防工作，指导开展消防监督、火灾预防、火灾扑救等工作。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9.指导协调森林和草原火灾、水旱灾害、地震和地质灾害等防治工作，负责自然灾害综合监测预警工作，指导开展自然灾害综合风险评估工作。</w:t>
      </w:r>
    </w:p>
    <w:p>
      <w:pPr>
        <w:pStyle w:val="5"/>
        <w:spacing w:before="0" w:beforeLines="0" w:beforeAutospacing="0" w:after="0" w:afterLines="0" w:afterAutospacing="0" w:line="576" w:lineRule="atLeast"/>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    10.组织协调灾害救助工作，指导开展灾情核查、损失评估、救灾捐赠工作，管理、分配救灾款物并监督使用。</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11.依法行使县安全生产综合监督管理职权，指导协调、监督检查各乡（镇）、各部门安全生产工作，组织开展安全生产巡查、考核工作。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12.按照分级、属地原则，依法监督检查工矿商贸生产经营单位贯彻执行安全生产法律法规情况及其安全生产条件和有关设备（特种设备除外）、材料、劳动防护用品的安全生产管理工作。负责监督管理工矿商贸行业企业安全生产工作。依法组织并指导监督实施安全生产准入制度。负责危险化学品安全监督管理综合工作和烟花爆竹安全生产监督管理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13.依法组织指导生产安全事故调查处理，监督事故查处和责任追究落实情况。组织开展自然灾害类突发事件的调查评估工作。</w:t>
      </w:r>
    </w:p>
    <w:p>
      <w:pPr>
        <w:pStyle w:val="5"/>
        <w:spacing w:before="0" w:beforeLines="0" w:beforeAutospacing="0" w:after="0" w:afterLines="0" w:afterAutospacing="0" w:line="576" w:lineRule="atLeast"/>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    14.开展应急管理方面的对外交流与合作，组织参与安全生产类、自然灾害类等突发事件的县外救援工作。</w:t>
      </w:r>
    </w:p>
    <w:p>
      <w:pPr>
        <w:pStyle w:val="5"/>
        <w:spacing w:before="0" w:beforeLines="0" w:beforeAutospacing="0" w:after="0" w:afterLines="0" w:afterAutospacing="0" w:line="576" w:lineRule="atLeast"/>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    15.制定应急物资储备和应急救援装备规划并组织实施，会同县粮食和物资储备局等部门建立健全应急物资信息平台和调拨制度，在救灾时统一调度。              </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16.负责应急管理、安全生产宣传教育和培训工作，组织指导应急管理、安全生产的科学技术研究、推广应用和信息化建设工作。</w:t>
      </w:r>
    </w:p>
    <w:p>
      <w:pPr>
        <w:pStyle w:val="5"/>
        <w:spacing w:before="0" w:beforeLines="0" w:beforeAutospacing="0" w:after="0" w:afterLines="0" w:afterAutospacing="0" w:line="576" w:lineRule="atLeast"/>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    17.完成县委、政府及上级相关部门交办的其他任务。</w:t>
      </w:r>
    </w:p>
    <w:p>
      <w:pPr>
        <w:pStyle w:val="5"/>
        <w:spacing w:before="0" w:beforeLines="0" w:beforeAutospacing="0" w:after="0" w:afterLines="0" w:afterAutospacing="0" w:line="576" w:lineRule="atLeast"/>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    18.职能转变。县应急管理局应加强、优化、统筹县应急能力建设，构建统一领导、权责一致、权威高效的应急能力体系，推动形成统一指挥、专常兼备、反应灵敏、上下联动、平战结合的中国特色、西藏特点、符合工布江达实际的应急管理体制。一是坚持以防为主、防抗救结合，坚持常态减灾和非常态救灾相统一，努力实现从注重灾后救助向注重灾前预防转变，从应对单一灾种向综合减灾转变，从减少灾害损失向减轻灾害风险转变，提高县应急管理水平和防灾减灾救灾能力，防范化解重特大安全风险。二是坚持以人为本，把确保人民群众生命安全放在首位，确保受灾群众基本生活，加强应急预案演练，增强全民防灾减灾意识，普及公众知识，提升自救互救技能，切实减少人员伤亡和财产损失。三是树立安全发展理念，坚持生命至上、安全第一，完善安全生产责任制，坚决遏制重特大安全事故。</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19.有关职责分工。</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（1）与县自然资源局、水利局、林业和草原局、农业农村局等部门在自然灾害防救方面的职责分工。</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①县应急管理局负责组织编制县总体应急预案和安全生产类、自然灾害类专项预案，综合协调应急预案衔接工作，组织开展预案演练。按照分级负责的原则，指导自然灾害类应急救援；组织协调重大灾害应急救援工作，并按权限作出决定；承担县应对重大灾害指挥部工作，协助上级党委政府及县委、政府指定的负责同志组织重大灾害应急处置工作。组织编制综合防灾减灾规划，指导协调相关部门森林和草原火灾、水旱灾害、地震和地质灾害等防治工作；会同县自然资源局、水利局、气象局、林业和草原局、农业农村局等有关部门建立统一的应急管理信息平台，建立监测预警和灾情报告制度，建立健全自然灾害信息资源获取和共享机制，依法统一发布灾情信息。开展多灾种和灾害链综合监测预警，指导开展自然灾害综合风险评估。建立森林和草原火情监测预警工作机制，发布森林和草原火险、火灾信息。</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②县自然资源局负责落实综合防灾减灾规划相关要求，组织编制地质灾害防治规划和防护标准并指导实施；组织指导协调和监督地质灾害调查评价及隐患的普查、详查、排查；指导开展群测群防、专业监测和预报预警等工作，指导开展地质灾害工程治理工作；承担地质灾害应急救援的技术支撑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③县水利局负责落实综合防灾减灾规划相关要求，组织编制洪水干旱灾害防治规划和防护标准并指导实施；承担水情旱情监测预警工作；组织编制重要江河湖泊和重要水工程的防御洪水抗御旱灾调度及应急水量调度方案，按程序报批并组织实施；承担防御洪水应急抢险的技术支撑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④县林业和草原局负责落实综合防灾减灾规划相关要求，组织编制森林和草原火灾防治规划和防护标准并指导实施；指导开展防火巡护、火源管理、防火设施建设等工作;组织指导林场林区和草原开展防火宣传教育、监测预警、督促检查等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⑤县农业农村局负责落实综合防灾减灾规划相关要求，承担农牧业日常抗灾减灾防灾职责。</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⑥必要时，县自然资源局、水利局、林业和草原局、农业农村局等部门可以提请县应急管理局，以县相关应急指挥机构名义部署相关防治工作。</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（2）与县粮食和物资储备局在救灾物资储备方面的职责分工。</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①县应急管理局负责提出县救灾物资的储备需求和动用决策，组织编制全县救灾物资储备规划、品种目录和标准，会同县粮食和物资储备局等部门确定年度购置计划，根据需要下达动用指令。</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②县粮食和物资储备局根据救灾物资储备规划、品种目录和标准、年度购置计划，负责县级救灾物资的收储、轮换和日常管理，根据县应急管理局的动用指令按程序组织调出。</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（3）安全生产监督管理职责分工。</w:t>
      </w:r>
    </w:p>
    <w:p>
      <w:pPr>
        <w:pStyle w:val="5"/>
        <w:spacing w:before="0" w:beforeLines="0" w:beforeAutospacing="0" w:after="0" w:afterLines="0" w:afterAutospacing="0" w:line="576" w:lineRule="atLeast"/>
        <w:ind w:firstLine="640"/>
        <w:jc w:val="both"/>
        <w:rPr>
          <w:rFonts w:hint="eastAsia" w:ascii="仿宋_GB2312" w:hAnsi="仿宋_GB2312" w:eastAsia="仿宋_GB2312"/>
          <w:color w:val="000000"/>
          <w:sz w:val="24"/>
        </w:rPr>
      </w:pPr>
      <w:r>
        <w:rPr>
          <w:rFonts w:hint="eastAsia" w:ascii="仿宋_GB2312" w:hAnsi="仿宋_GB2312" w:eastAsia="仿宋_GB2312"/>
          <w:color w:val="000000"/>
          <w:sz w:val="32"/>
          <w:shd w:val="clear" w:color="auto" w:fill="FFFFFF"/>
        </w:rPr>
        <w:t>①县应急管理局履行安全生产综合监管职责，负责指导协调、监督检查本级政府负有安全生产监督管理职责部门的安全生产工作。</w:t>
      </w:r>
    </w:p>
    <w:p>
      <w:pPr>
        <w:shd w:val="clear" w:color="auto" w:fill="FFFFFF"/>
        <w:spacing w:beforeLines="0" w:afterLines="0" w:line="576" w:lineRule="atLeast"/>
        <w:ind w:firstLine="640"/>
        <w:jc w:val="left"/>
        <w:rPr>
          <w:rFonts w:hint="eastAsia" w:ascii="仿宋_GB2312" w:hAnsi="仿宋_GB2312" w:eastAsia="仿宋_GB2312"/>
          <w:color w:val="000000"/>
          <w:sz w:val="21"/>
        </w:rPr>
      </w:pPr>
      <w:r>
        <w:rPr>
          <w:rFonts w:hint="eastAsia" w:ascii="仿宋_GB2312" w:hAnsi="仿宋_GB2312" w:eastAsia="仿宋_GB2312"/>
          <w:color w:val="000000"/>
          <w:kern w:val="0"/>
          <w:sz w:val="32"/>
          <w:shd w:val="clear" w:color="auto" w:fill="FFFFFF"/>
          <w:lang w:val="en-US" w:eastAsia="zh-CN"/>
        </w:rPr>
        <w:t>②各负有安全生产监督管理职责的部门按照“管行业必须管安全，管业务必须管安全，管生产经营必须管安全”的要求，依法具体负责本行业领域的安全生产监督管理工作。</w:t>
      </w:r>
    </w:p>
    <w:p>
      <w:pPr>
        <w:shd w:val="clear" w:color="auto" w:fill="FFFFFF"/>
        <w:spacing w:beforeLines="0" w:afterLines="0" w:line="576" w:lineRule="atLeast"/>
        <w:ind w:firstLine="420"/>
        <w:jc w:val="left"/>
        <w:rPr>
          <w:rFonts w:hint="eastAsia" w:ascii="仿宋_GB2312" w:hAnsi="仿宋_GB2312" w:eastAsia="仿宋_GB2312"/>
          <w:color w:val="000000"/>
          <w:sz w:val="21"/>
        </w:rPr>
      </w:pPr>
      <w:r>
        <w:rPr>
          <w:rFonts w:hint="eastAsia" w:ascii="仿宋_GB2312" w:hAnsi="仿宋_GB2312" w:eastAsia="仿宋_GB2312"/>
          <w:color w:val="000000"/>
          <w:kern w:val="0"/>
          <w:sz w:val="32"/>
          <w:shd w:val="clear" w:color="auto" w:fill="FFFFFF"/>
          <w:lang w:val="en-US" w:eastAsia="zh-CN"/>
        </w:rPr>
        <w:t>（二）机构设置</w:t>
      </w:r>
    </w:p>
    <w:p>
      <w:pPr>
        <w:pStyle w:val="5"/>
        <w:spacing w:before="300" w:beforeLines="0" w:beforeAutospacing="0" w:after="378" w:afterLines="0" w:afterAutospacing="0" w:line="360" w:lineRule="atLeast"/>
        <w:ind w:firstLine="420"/>
        <w:rPr>
          <w:rFonts w:hint="eastAsia" w:ascii="仿宋_GB2312" w:hAnsi="仿宋_GB2312" w:eastAsia="仿宋_GB2312"/>
          <w:color w:val="000000"/>
          <w:sz w:val="24"/>
          <w:lang w:eastAsia="zh-CN"/>
        </w:rPr>
      </w:pPr>
      <w:r>
        <w:rPr>
          <w:rFonts w:hint="eastAsia" w:ascii="仿宋_GB2312" w:hAnsi="仿宋_GB2312" w:eastAsia="仿宋_GB2312"/>
          <w:color w:val="000000"/>
          <w:sz w:val="32"/>
          <w:shd w:val="clear" w:color="auto" w:fill="FFFFFF"/>
        </w:rPr>
        <w:t>工布江达县县应急管理局行政编制，</w:t>
      </w:r>
      <w:r>
        <w:rPr>
          <w:rFonts w:hint="eastAsia" w:ascii="仿宋_GB2312" w:hAnsi="仿宋_GB2312" w:eastAsia="仿宋_GB2312"/>
          <w:color w:val="000000"/>
          <w:sz w:val="32"/>
          <w:shd w:val="clear" w:color="auto" w:fill="FFFFFF"/>
          <w:lang w:eastAsia="zh-CN"/>
        </w:rPr>
        <w:t>下设安委办、财务室、综合办、森林草原防灭火指挥部、防汛抗旱指挥部、抗震救灾指挥部。</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_GB2312" w:hAnsi="宋体" w:eastAsia="仿宋_GB2312"/>
          <w:sz w:val="32"/>
          <w:szCs w:val="32"/>
        </w:rPr>
      </w:pPr>
      <w:r>
        <w:rPr>
          <w:rFonts w:hint="eastAsia" w:ascii="仿宋_GB2312" w:hAnsi="宋体" w:eastAsia="仿宋_GB2312"/>
          <w:sz w:val="32"/>
          <w:szCs w:val="32"/>
          <w:lang w:val="en-US" w:eastAsia="zh-CN"/>
        </w:rPr>
        <w:t>我局独立核算机构1个，较上年无变化，单位内设机构为会计核算中心</w:t>
      </w:r>
      <w:r>
        <w:rPr>
          <w:rFonts w:hint="eastAsia" w:ascii="仿宋_GB2312" w:hAnsi="宋体" w:eastAsia="仿宋_GB2312"/>
          <w:sz w:val="32"/>
          <w:szCs w:val="32"/>
        </w:rPr>
        <w:t>。</w:t>
      </w:r>
    </w:p>
    <w:p>
      <w:pPr>
        <w:ind w:firstLine="3520" w:firstLineChars="1100"/>
        <w:jc w:val="both"/>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西藏工布江达县</w:t>
      </w:r>
      <w:r>
        <w:rPr>
          <w:rFonts w:hint="eastAsia" w:ascii="方正小标宋简体" w:hAnsi="仿宋" w:eastAsia="方正小标宋简体"/>
          <w:sz w:val="32"/>
          <w:szCs w:val="32"/>
          <w:lang w:eastAsia="zh-CN"/>
        </w:rPr>
        <w:t>应急管理局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ind w:firstLine="3520" w:firstLineChars="1100"/>
        <w:jc w:val="both"/>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西藏工布江达县</w:t>
      </w:r>
      <w:r>
        <w:rPr>
          <w:rFonts w:hint="eastAsia" w:ascii="方正小标宋简体" w:hAnsi="仿宋" w:eastAsia="方正小标宋简体"/>
          <w:sz w:val="32"/>
          <w:szCs w:val="32"/>
          <w:lang w:eastAsia="zh-CN"/>
        </w:rPr>
        <w:t>应急管理局</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253.03</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250.85</w:t>
      </w:r>
      <w:r>
        <w:rPr>
          <w:rFonts w:hint="eastAsia" w:ascii="仿宋" w:hAnsi="仿宋" w:eastAsia="仿宋"/>
          <w:sz w:val="32"/>
          <w:szCs w:val="32"/>
        </w:rPr>
        <w:t>万元</w:t>
      </w:r>
      <w:r>
        <w:rPr>
          <w:rFonts w:hint="eastAsia" w:ascii="仿宋" w:hAnsi="仿宋" w:eastAsia="仿宋"/>
          <w:sz w:val="32"/>
          <w:szCs w:val="32"/>
          <w:lang w:eastAsia="zh-CN"/>
        </w:rPr>
        <w:t>、上年结转</w:t>
      </w:r>
      <w:r>
        <w:rPr>
          <w:rFonts w:hint="eastAsia" w:ascii="仿宋" w:hAnsi="仿宋" w:eastAsia="仿宋"/>
          <w:sz w:val="32"/>
          <w:szCs w:val="32"/>
          <w:lang w:val="en-US" w:eastAsia="zh-CN"/>
        </w:rPr>
        <w:t>2.18万元、</w:t>
      </w:r>
      <w:r>
        <w:rPr>
          <w:rFonts w:hint="eastAsia" w:ascii="仿宋" w:hAnsi="仿宋" w:eastAsia="仿宋"/>
          <w:sz w:val="32"/>
          <w:szCs w:val="32"/>
        </w:rPr>
        <w:t>支出包括：</w:t>
      </w:r>
      <w:r>
        <w:rPr>
          <w:rFonts w:hint="eastAsia" w:ascii="仿宋" w:hAnsi="仿宋" w:eastAsia="仿宋" w:cs="Times New Roman"/>
          <w:sz w:val="32"/>
          <w:szCs w:val="32"/>
        </w:rPr>
        <w:t>灾害防治及应急管理支出</w:t>
      </w:r>
      <w:r>
        <w:rPr>
          <w:rFonts w:hint="eastAsia" w:ascii="仿宋" w:hAnsi="仿宋" w:eastAsia="仿宋"/>
          <w:sz w:val="32"/>
          <w:szCs w:val="32"/>
          <w:u w:val="single"/>
          <w:lang w:val="en-US" w:eastAsia="zh-CN"/>
        </w:rPr>
        <w:t>194.06</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25.86</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14.8</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18.31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253.03</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lang w:val="en-US" w:eastAsia="zh-CN"/>
        </w:rPr>
        <w:t>7.87</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上年结转结余</w:t>
      </w:r>
      <w:r>
        <w:rPr>
          <w:rFonts w:hint="eastAsia" w:ascii="仿宋" w:hAnsi="仿宋" w:eastAsia="仿宋"/>
          <w:sz w:val="32"/>
          <w:szCs w:val="32"/>
          <w:u w:val="single"/>
          <w:lang w:eastAsia="zh-CN"/>
        </w:rPr>
        <w:t>增加，</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250.85</w:t>
      </w:r>
      <w:r>
        <w:rPr>
          <w:rFonts w:hint="eastAsia" w:ascii="仿宋" w:hAnsi="仿宋" w:eastAsia="仿宋"/>
          <w:sz w:val="32"/>
          <w:szCs w:val="32"/>
        </w:rPr>
        <w:t>万元，占</w:t>
      </w:r>
      <w:r>
        <w:rPr>
          <w:rFonts w:hint="eastAsia" w:ascii="仿宋" w:hAnsi="仿宋" w:eastAsia="仿宋"/>
          <w:sz w:val="32"/>
          <w:szCs w:val="32"/>
          <w:u w:val="single"/>
        </w:rPr>
        <w:t>100</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253.03</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5.69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项目支出</w:t>
      </w:r>
      <w:r>
        <w:rPr>
          <w:rFonts w:hint="eastAsia" w:ascii="仿宋" w:hAnsi="仿宋" w:eastAsia="仿宋"/>
          <w:sz w:val="32"/>
          <w:szCs w:val="32"/>
          <w:u w:val="single"/>
          <w:lang w:eastAsia="zh-CN"/>
        </w:rPr>
        <w:t>增加</w:t>
      </w:r>
      <w:r>
        <w:rPr>
          <w:rFonts w:hint="eastAsia" w:ascii="仿宋" w:hAnsi="仿宋" w:eastAsia="仿宋"/>
          <w:sz w:val="32"/>
          <w:szCs w:val="32"/>
        </w:rPr>
        <w:t>。其中：基本支出</w:t>
      </w:r>
      <w:r>
        <w:rPr>
          <w:rFonts w:hint="eastAsia" w:ascii="仿宋" w:hAnsi="仿宋" w:eastAsia="仿宋"/>
          <w:sz w:val="32"/>
          <w:szCs w:val="32"/>
          <w:u w:val="single"/>
          <w:lang w:val="en-US" w:eastAsia="zh-CN"/>
        </w:rPr>
        <w:t>235.09</w:t>
      </w:r>
      <w:r>
        <w:rPr>
          <w:rFonts w:hint="eastAsia" w:ascii="仿宋" w:hAnsi="仿宋" w:eastAsia="仿宋"/>
          <w:sz w:val="32"/>
          <w:szCs w:val="32"/>
        </w:rPr>
        <w:t>万元，占</w:t>
      </w:r>
      <w:r>
        <w:rPr>
          <w:rFonts w:hint="eastAsia" w:ascii="仿宋" w:hAnsi="仿宋" w:eastAsia="仿宋"/>
          <w:sz w:val="32"/>
          <w:szCs w:val="32"/>
          <w:u w:val="single"/>
          <w:lang w:val="en-US" w:eastAsia="zh-CN"/>
        </w:rPr>
        <w:t>92.9</w:t>
      </w:r>
      <w:r>
        <w:rPr>
          <w:rFonts w:hint="eastAsia" w:ascii="仿宋" w:hAnsi="仿宋" w:eastAsia="仿宋"/>
          <w:sz w:val="32"/>
          <w:szCs w:val="32"/>
        </w:rPr>
        <w:t>%；项目支出</w:t>
      </w:r>
      <w:r>
        <w:rPr>
          <w:rFonts w:hint="eastAsia" w:ascii="仿宋" w:hAnsi="仿宋" w:eastAsia="仿宋"/>
          <w:sz w:val="32"/>
          <w:szCs w:val="32"/>
          <w:u w:val="single"/>
          <w:lang w:val="en-US" w:eastAsia="zh-CN"/>
        </w:rPr>
        <w:t>17.94</w:t>
      </w:r>
      <w:r>
        <w:rPr>
          <w:rFonts w:hint="eastAsia" w:ascii="仿宋" w:hAnsi="仿宋" w:eastAsia="仿宋"/>
          <w:sz w:val="32"/>
          <w:szCs w:val="32"/>
        </w:rPr>
        <w:t>万元，占</w:t>
      </w:r>
      <w:r>
        <w:rPr>
          <w:rFonts w:hint="eastAsia" w:ascii="仿宋" w:hAnsi="仿宋" w:eastAsia="仿宋"/>
          <w:sz w:val="32"/>
          <w:szCs w:val="32"/>
          <w:u w:val="single"/>
          <w:lang w:val="en-US" w:eastAsia="zh-CN"/>
        </w:rPr>
        <w:t>7.8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253.03</w:t>
      </w:r>
      <w:r>
        <w:rPr>
          <w:rFonts w:hint="eastAsia" w:ascii="仿宋" w:hAnsi="仿宋" w:eastAsia="仿宋"/>
          <w:sz w:val="32"/>
          <w:szCs w:val="32"/>
        </w:rPr>
        <w:t>元，同比</w:t>
      </w:r>
      <w:r>
        <w:rPr>
          <w:rFonts w:hint="eastAsia" w:ascii="仿宋" w:hAnsi="仿宋" w:eastAsia="仿宋"/>
          <w:sz w:val="32"/>
          <w:szCs w:val="32"/>
          <w:lang w:eastAsia="zh-CN"/>
        </w:rPr>
        <w:t>增加</w:t>
      </w:r>
      <w:r>
        <w:rPr>
          <w:rFonts w:hint="eastAsia" w:ascii="仿宋" w:hAnsi="仿宋" w:eastAsia="仿宋"/>
          <w:sz w:val="32"/>
          <w:szCs w:val="32"/>
          <w:lang w:val="en-US" w:eastAsia="zh-CN"/>
        </w:rPr>
        <w:t>5.69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一般公共服务支出</w:t>
      </w:r>
      <w:r>
        <w:rPr>
          <w:rFonts w:hint="eastAsia" w:ascii="仿宋" w:hAnsi="仿宋" w:eastAsia="仿宋"/>
          <w:sz w:val="32"/>
          <w:szCs w:val="32"/>
          <w:u w:val="single"/>
          <w:lang w:eastAsia="zh-CN"/>
        </w:rPr>
        <w:t>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250.85</w:t>
      </w:r>
      <w:r>
        <w:rPr>
          <w:rFonts w:hint="eastAsia" w:ascii="仿宋" w:hAnsi="仿宋" w:eastAsia="仿宋"/>
          <w:sz w:val="32"/>
          <w:szCs w:val="32"/>
        </w:rPr>
        <w:t>万元；支出包括：灾害防治及应急管理支出</w:t>
      </w:r>
      <w:r>
        <w:rPr>
          <w:rFonts w:hint="eastAsia" w:ascii="仿宋" w:hAnsi="仿宋" w:eastAsia="仿宋"/>
          <w:sz w:val="32"/>
          <w:szCs w:val="32"/>
          <w:u w:val="single"/>
          <w:lang w:val="en-US" w:eastAsia="zh-CN"/>
        </w:rPr>
        <w:t>194.06</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25.86</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14.8</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18.31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253.03</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lang w:val="en-US" w:eastAsia="zh-CN"/>
        </w:rPr>
        <w:t>139.88</w:t>
      </w:r>
      <w:r>
        <w:rPr>
          <w:rFonts w:hint="eastAsia" w:ascii="仿宋" w:hAnsi="仿宋" w:eastAsia="仿宋"/>
          <w:sz w:val="32"/>
          <w:szCs w:val="32"/>
        </w:rPr>
        <w:t>万元，主要原因：</w:t>
      </w:r>
      <w:r>
        <w:rPr>
          <w:rFonts w:hint="eastAsia" w:ascii="仿宋" w:hAnsi="仿宋" w:eastAsia="仿宋"/>
          <w:sz w:val="32"/>
          <w:szCs w:val="32"/>
          <w:u w:val="single"/>
        </w:rPr>
        <w:t>一般公共服务支出</w:t>
      </w:r>
      <w:r>
        <w:rPr>
          <w:rFonts w:hint="eastAsia" w:ascii="仿宋" w:hAnsi="仿宋" w:eastAsia="仿宋"/>
          <w:sz w:val="32"/>
          <w:szCs w:val="32"/>
          <w:u w:val="single"/>
          <w:lang w:eastAsia="zh-CN"/>
        </w:rPr>
        <w:t>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253.03</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灾害防治及应急管理支出</w:t>
      </w:r>
      <w:r>
        <w:rPr>
          <w:rFonts w:hint="eastAsia" w:ascii="仿宋" w:hAnsi="仿宋" w:eastAsia="仿宋"/>
          <w:sz w:val="32"/>
          <w:szCs w:val="32"/>
          <w:lang w:val="en-US" w:eastAsia="zh-CN"/>
        </w:rPr>
        <w:t>1</w:t>
      </w:r>
      <w:r>
        <w:rPr>
          <w:rFonts w:hint="eastAsia" w:ascii="仿宋" w:hAnsi="仿宋" w:eastAsia="仿宋"/>
          <w:sz w:val="32"/>
          <w:szCs w:val="32"/>
          <w:u w:val="single"/>
          <w:lang w:val="en-US" w:eastAsia="zh-CN"/>
        </w:rPr>
        <w:t>94.06</w:t>
      </w:r>
      <w:r>
        <w:rPr>
          <w:rFonts w:hint="eastAsia" w:ascii="仿宋" w:hAnsi="仿宋" w:eastAsia="仿宋"/>
          <w:sz w:val="32"/>
          <w:szCs w:val="32"/>
        </w:rPr>
        <w:t>万元，占</w:t>
      </w:r>
      <w:r>
        <w:rPr>
          <w:rFonts w:hint="eastAsia" w:ascii="仿宋" w:hAnsi="仿宋" w:eastAsia="仿宋"/>
          <w:sz w:val="32"/>
          <w:szCs w:val="32"/>
          <w:u w:val="single"/>
          <w:lang w:val="en-US" w:eastAsia="zh-CN"/>
        </w:rPr>
        <w:t>76.7</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25.86</w:t>
      </w:r>
      <w:r>
        <w:rPr>
          <w:rFonts w:hint="eastAsia" w:ascii="仿宋" w:hAnsi="仿宋" w:eastAsia="仿宋"/>
          <w:sz w:val="32"/>
          <w:szCs w:val="32"/>
        </w:rPr>
        <w:t>万元，占</w:t>
      </w:r>
      <w:r>
        <w:rPr>
          <w:rFonts w:hint="eastAsia" w:ascii="仿宋" w:hAnsi="仿宋" w:eastAsia="仿宋"/>
          <w:sz w:val="32"/>
          <w:szCs w:val="32"/>
          <w:u w:val="single"/>
          <w:lang w:val="en-US" w:eastAsia="zh-CN"/>
        </w:rPr>
        <w:t>10.22</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14.8</w:t>
      </w:r>
      <w:r>
        <w:rPr>
          <w:rFonts w:hint="eastAsia" w:ascii="仿宋" w:hAnsi="仿宋" w:eastAsia="仿宋"/>
          <w:sz w:val="32"/>
          <w:szCs w:val="32"/>
        </w:rPr>
        <w:t>万元，占</w:t>
      </w:r>
      <w:r>
        <w:rPr>
          <w:rFonts w:hint="eastAsia" w:ascii="仿宋" w:hAnsi="仿宋" w:eastAsia="仿宋"/>
          <w:sz w:val="32"/>
          <w:szCs w:val="32"/>
          <w:u w:val="single"/>
          <w:lang w:val="en-US" w:eastAsia="zh-CN"/>
        </w:rPr>
        <w:t>5.85</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18.31</w:t>
      </w:r>
      <w:r>
        <w:rPr>
          <w:rFonts w:hint="eastAsia" w:ascii="仿宋" w:hAnsi="仿宋" w:eastAsia="仿宋"/>
          <w:sz w:val="32"/>
          <w:szCs w:val="32"/>
        </w:rPr>
        <w:t>万元，占</w:t>
      </w:r>
      <w:r>
        <w:rPr>
          <w:rFonts w:hint="eastAsia" w:ascii="仿宋" w:hAnsi="仿宋" w:eastAsia="仿宋"/>
          <w:sz w:val="32"/>
          <w:szCs w:val="32"/>
          <w:u w:val="single"/>
          <w:lang w:val="en-US" w:eastAsia="zh-CN"/>
        </w:rPr>
        <w:t>7.2</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1.</w:t>
      </w:r>
      <w:r>
        <w:rPr>
          <w:rFonts w:hint="eastAsia" w:ascii="仿宋" w:hAnsi="仿宋" w:eastAsia="仿宋"/>
          <w:sz w:val="32"/>
          <w:szCs w:val="32"/>
        </w:rPr>
        <w:t>灾害防治及应急管理支出</w:t>
      </w:r>
      <w:r>
        <w:rPr>
          <w:rFonts w:hint="eastAsia" w:ascii="仿宋" w:hAnsi="仿宋" w:eastAsia="仿宋"/>
          <w:sz w:val="32"/>
          <w:szCs w:val="32"/>
          <w:lang w:val="en-US" w:eastAsia="zh-CN"/>
        </w:rPr>
        <w:t>(类）财政对</w:t>
      </w:r>
      <w:r>
        <w:rPr>
          <w:rFonts w:hint="eastAsia" w:ascii="仿宋" w:hAnsi="仿宋" w:eastAsia="仿宋"/>
          <w:sz w:val="32"/>
          <w:szCs w:val="32"/>
        </w:rPr>
        <w:t>灾害防治及应急管理支出</w:t>
      </w:r>
      <w:r>
        <w:rPr>
          <w:rFonts w:hint="eastAsia" w:ascii="仿宋" w:hAnsi="仿宋" w:eastAsia="仿宋"/>
          <w:sz w:val="32"/>
          <w:szCs w:val="32"/>
          <w:lang w:eastAsia="zh-CN"/>
        </w:rPr>
        <w:t>（款）</w:t>
      </w:r>
      <w:r>
        <w:rPr>
          <w:rFonts w:hint="eastAsia" w:ascii="仿宋" w:hAnsi="仿宋" w:eastAsia="仿宋"/>
          <w:sz w:val="32"/>
          <w:szCs w:val="32"/>
          <w:lang w:val="en-US" w:eastAsia="zh-CN"/>
        </w:rPr>
        <w:t>财政对</w:t>
      </w:r>
      <w:r>
        <w:rPr>
          <w:rFonts w:hint="eastAsia" w:ascii="仿宋" w:hAnsi="仿宋" w:eastAsia="仿宋"/>
          <w:sz w:val="32"/>
          <w:szCs w:val="32"/>
        </w:rPr>
        <w:t>灾害防治及应急管理支出</w:t>
      </w:r>
      <w:r>
        <w:rPr>
          <w:rFonts w:hint="eastAsia" w:ascii="仿宋" w:hAnsi="仿宋" w:eastAsia="仿宋"/>
          <w:sz w:val="32"/>
          <w:szCs w:val="32"/>
          <w:lang w:eastAsia="zh-CN"/>
        </w:rPr>
        <w:t>（项）</w:t>
      </w:r>
      <w:r>
        <w:rPr>
          <w:rFonts w:hint="eastAsia" w:ascii="仿宋" w:hAnsi="仿宋" w:eastAsia="仿宋"/>
          <w:sz w:val="32"/>
          <w:szCs w:val="32"/>
          <w:lang w:val="en-US" w:eastAsia="zh-CN"/>
        </w:rPr>
        <w:t>预算数为194.06万元，比2023年减少144.16万元，下降为42.62%，主要业务变动为减少结转资金。</w:t>
      </w:r>
    </w:p>
    <w:p>
      <w:pPr>
        <w:ind w:firstLine="640" w:firstLineChars="200"/>
        <w:rPr>
          <w:rFonts w:ascii="仿宋" w:hAnsi="仿宋" w:eastAsia="仿宋"/>
          <w:sz w:val="32"/>
          <w:szCs w:val="32"/>
        </w:rPr>
      </w:pPr>
      <w:r>
        <w:rPr>
          <w:rFonts w:hint="eastAsia" w:ascii="仿宋" w:hAnsi="仿宋" w:eastAsia="仿宋"/>
          <w:sz w:val="32"/>
          <w:szCs w:val="32"/>
          <w:lang w:val="en-US" w:eastAsia="zh-CN"/>
        </w:rPr>
        <w:t>2</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lang w:val="en-US" w:eastAsia="zh-CN"/>
        </w:rPr>
        <w:t>25.66</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3.08</w:t>
      </w:r>
      <w:r>
        <w:rPr>
          <w:rFonts w:hint="eastAsia" w:ascii="仿宋" w:hAnsi="仿宋" w:eastAsia="仿宋"/>
          <w:sz w:val="32"/>
          <w:szCs w:val="32"/>
        </w:rPr>
        <w:t>万元，上升</w:t>
      </w:r>
      <w:r>
        <w:rPr>
          <w:rFonts w:hint="eastAsia" w:ascii="仿宋" w:hAnsi="仿宋" w:eastAsia="仿宋"/>
          <w:sz w:val="32"/>
          <w:szCs w:val="32"/>
          <w:u w:val="single"/>
          <w:lang w:val="en-US" w:eastAsia="zh-CN"/>
        </w:rPr>
        <w:t>13.42</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lang w:val="en-US" w:eastAsia="zh-CN"/>
        </w:rPr>
        <w:t>3</w:t>
      </w:r>
      <w:r>
        <w:rPr>
          <w:rFonts w:ascii="仿宋" w:hAnsi="仿宋" w:eastAsia="仿宋"/>
          <w:sz w:val="32"/>
          <w:szCs w:val="32"/>
        </w:rPr>
        <w:t>.</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lang w:val="en-US" w:eastAsia="zh-CN"/>
        </w:rPr>
        <w:t>0.16</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0.01</w:t>
      </w:r>
      <w:r>
        <w:rPr>
          <w:rFonts w:hint="eastAsia" w:ascii="仿宋" w:hAnsi="仿宋" w:eastAsia="仿宋"/>
          <w:sz w:val="32"/>
          <w:szCs w:val="32"/>
        </w:rPr>
        <w:t>万元，上升</w:t>
      </w:r>
      <w:r>
        <w:rPr>
          <w:rFonts w:hint="eastAsia" w:ascii="仿宋" w:hAnsi="仿宋" w:eastAsia="仿宋"/>
          <w:sz w:val="32"/>
          <w:szCs w:val="32"/>
          <w:u w:val="single"/>
          <w:lang w:val="en-US" w:eastAsia="zh-CN"/>
        </w:rPr>
        <w:t>6.66</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lang w:val="en-US" w:eastAsia="zh-CN"/>
        </w:rPr>
        <w:t>4</w:t>
      </w:r>
      <w:r>
        <w:rPr>
          <w:rFonts w:ascii="仿宋" w:hAnsi="仿宋" w:eastAsia="仿宋"/>
          <w:sz w:val="32"/>
          <w:szCs w:val="32"/>
        </w:rPr>
        <w:t>.</w:t>
      </w:r>
      <w:r>
        <w:rPr>
          <w:rFonts w:hint="eastAsia" w:ascii="仿宋" w:hAnsi="仿宋" w:eastAsia="仿宋"/>
          <w:sz w:val="32"/>
          <w:szCs w:val="32"/>
        </w:rPr>
        <w:t>社会保障和就业支出（类）财政对其他社会保险基金的补助（款）财政对</w:t>
      </w:r>
      <w:r>
        <w:rPr>
          <w:rFonts w:hint="eastAsia" w:ascii="仿宋" w:hAnsi="仿宋" w:eastAsia="仿宋"/>
          <w:sz w:val="32"/>
          <w:szCs w:val="32"/>
          <w:lang w:eastAsia="zh-CN"/>
        </w:rPr>
        <w:t>失业</w:t>
      </w:r>
      <w:r>
        <w:rPr>
          <w:rFonts w:hint="eastAsia" w:ascii="仿宋" w:hAnsi="仿宋" w:eastAsia="仿宋"/>
          <w:sz w:val="32"/>
          <w:szCs w:val="32"/>
        </w:rPr>
        <w:t>保险基金的补助（项）预算数为</w:t>
      </w:r>
      <w:r>
        <w:rPr>
          <w:rFonts w:hint="eastAsia" w:ascii="仿宋" w:hAnsi="仿宋" w:eastAsia="仿宋"/>
          <w:sz w:val="32"/>
          <w:szCs w:val="32"/>
          <w:u w:val="single"/>
          <w:lang w:val="en-US" w:eastAsia="zh-CN"/>
        </w:rPr>
        <w:t>0.04</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0.02</w:t>
      </w:r>
      <w:r>
        <w:rPr>
          <w:rFonts w:hint="eastAsia" w:ascii="仿宋" w:hAnsi="仿宋" w:eastAsia="仿宋"/>
          <w:sz w:val="32"/>
          <w:szCs w:val="32"/>
        </w:rPr>
        <w:t>万元，上升</w:t>
      </w:r>
      <w:r>
        <w:rPr>
          <w:rFonts w:hint="eastAsia" w:ascii="仿宋" w:hAnsi="仿宋" w:eastAsia="仿宋"/>
          <w:sz w:val="32"/>
          <w:szCs w:val="32"/>
          <w:u w:val="single"/>
          <w:lang w:val="en-US" w:eastAsia="zh-CN"/>
        </w:rPr>
        <w:t>50</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lang w:val="en-US" w:eastAsia="zh-CN"/>
        </w:rPr>
        <w:t>5</w:t>
      </w:r>
      <w:r>
        <w:rPr>
          <w:rFonts w:ascii="仿宋" w:hAnsi="仿宋" w:eastAsia="仿宋"/>
          <w:sz w:val="32"/>
          <w:szCs w:val="32"/>
        </w:rPr>
        <w:t>.</w:t>
      </w:r>
      <w:r>
        <w:rPr>
          <w:rFonts w:hint="eastAsia"/>
        </w:rPr>
        <w:t xml:space="preserve"> </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3.05</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0.17</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5.27</w:t>
      </w:r>
      <w:r>
        <w:rPr>
          <w:rFonts w:hint="eastAsia" w:ascii="仿宋" w:hAnsi="仿宋" w:eastAsia="仿宋"/>
          <w:sz w:val="32"/>
          <w:szCs w:val="32"/>
        </w:rPr>
        <w:t>%。主要是人员变动导致相关支出</w:t>
      </w:r>
      <w:r>
        <w:rPr>
          <w:rFonts w:hint="eastAsia" w:ascii="仿宋" w:hAnsi="仿宋" w:eastAsia="仿宋"/>
          <w:sz w:val="32"/>
          <w:szCs w:val="32"/>
          <w:lang w:eastAsia="zh-CN"/>
        </w:rPr>
        <w:t>增加</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11.75</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2.58</w:t>
      </w:r>
      <w:r>
        <w:rPr>
          <w:rFonts w:hint="eastAsia" w:ascii="仿宋" w:hAnsi="仿宋" w:eastAsia="仿宋"/>
          <w:sz w:val="32"/>
          <w:szCs w:val="32"/>
        </w:rPr>
        <w:t>万元，上升</w:t>
      </w:r>
      <w:r>
        <w:rPr>
          <w:rFonts w:hint="eastAsia" w:ascii="仿宋" w:hAnsi="仿宋" w:eastAsia="仿宋"/>
          <w:sz w:val="32"/>
          <w:szCs w:val="32"/>
          <w:u w:val="single"/>
          <w:lang w:val="en-US" w:eastAsia="zh-CN"/>
        </w:rPr>
        <w:t>28.13</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lang w:val="en-US" w:eastAsia="zh-CN"/>
        </w:rPr>
        <w:t>18.31</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1.04</w:t>
      </w:r>
      <w:r>
        <w:rPr>
          <w:rFonts w:hint="eastAsia" w:ascii="仿宋" w:hAnsi="仿宋" w:eastAsia="仿宋"/>
          <w:sz w:val="32"/>
          <w:szCs w:val="32"/>
        </w:rPr>
        <w:t>万元，降低</w:t>
      </w:r>
      <w:r>
        <w:rPr>
          <w:rFonts w:hint="eastAsia" w:ascii="仿宋" w:hAnsi="仿宋" w:eastAsia="仿宋"/>
          <w:sz w:val="32"/>
          <w:szCs w:val="32"/>
          <w:u w:val="single"/>
          <w:lang w:val="en-US" w:eastAsia="zh-CN"/>
        </w:rPr>
        <w:t>11.34</w:t>
      </w:r>
      <w:r>
        <w:rPr>
          <w:rFonts w:hint="eastAsia" w:ascii="仿宋" w:hAnsi="仿宋" w:eastAsia="仿宋"/>
          <w:sz w:val="32"/>
          <w:szCs w:val="32"/>
        </w:rPr>
        <w:t>%。主要是公积金基数上调导致相应支出减少。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235.09</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219.97</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219.97</w:t>
      </w:r>
      <w:r>
        <w:rPr>
          <w:rFonts w:hint="eastAsia" w:ascii="仿宋" w:hAnsi="仿宋" w:eastAsia="仿宋"/>
          <w:sz w:val="32"/>
          <w:szCs w:val="32"/>
        </w:rPr>
        <w:t>万元（基本工资</w:t>
      </w:r>
      <w:r>
        <w:rPr>
          <w:rFonts w:hint="eastAsia" w:ascii="仿宋" w:hAnsi="仿宋" w:eastAsia="仿宋"/>
          <w:sz w:val="32"/>
          <w:szCs w:val="32"/>
          <w:u w:val="single"/>
          <w:lang w:val="en-US" w:eastAsia="zh-CN"/>
        </w:rPr>
        <w:t>31.83</w:t>
      </w:r>
      <w:r>
        <w:rPr>
          <w:rFonts w:hint="eastAsia" w:ascii="仿宋" w:hAnsi="仿宋" w:eastAsia="仿宋"/>
          <w:sz w:val="32"/>
          <w:szCs w:val="32"/>
        </w:rPr>
        <w:t>万元、津贴补贴</w:t>
      </w:r>
      <w:r>
        <w:rPr>
          <w:rFonts w:hint="eastAsia" w:ascii="仿宋" w:hAnsi="仿宋" w:eastAsia="仿宋"/>
          <w:sz w:val="32"/>
          <w:szCs w:val="32"/>
          <w:u w:val="single"/>
          <w:lang w:val="en-US" w:eastAsia="zh-CN"/>
        </w:rPr>
        <w:t>107.45</w:t>
      </w:r>
      <w:r>
        <w:rPr>
          <w:rFonts w:hint="eastAsia" w:ascii="仿宋" w:hAnsi="仿宋" w:eastAsia="仿宋"/>
          <w:sz w:val="32"/>
          <w:szCs w:val="32"/>
        </w:rPr>
        <w:t>万元、奖金</w:t>
      </w:r>
      <w:r>
        <w:rPr>
          <w:rFonts w:hint="eastAsia" w:ascii="仿宋" w:hAnsi="仿宋" w:eastAsia="仿宋"/>
          <w:sz w:val="32"/>
          <w:szCs w:val="32"/>
          <w:u w:val="single"/>
          <w:lang w:val="en-US" w:eastAsia="zh-CN"/>
        </w:rPr>
        <w:t>11.61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25.66</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11.75</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lang w:val="en-US" w:eastAsia="zh-CN"/>
        </w:rPr>
        <w:t>3.05</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lang w:val="en-US" w:eastAsia="zh-CN"/>
        </w:rPr>
        <w:t>0.2</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lang w:val="en-US" w:eastAsia="zh-CN"/>
        </w:rPr>
        <w:t>0.16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10.11</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lang w:val="en-US" w:eastAsia="zh-CN"/>
        </w:rPr>
        <w:t>18.31</w:t>
      </w:r>
      <w:r>
        <w:rPr>
          <w:rFonts w:hint="eastAsia" w:ascii="仿宋" w:hAnsi="仿宋" w:eastAsia="仿宋"/>
          <w:sz w:val="32"/>
          <w:szCs w:val="32"/>
        </w:rPr>
        <w:t>万元。</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公用经费</w:t>
      </w:r>
      <w:r>
        <w:rPr>
          <w:rFonts w:hint="eastAsia" w:ascii="仿宋" w:hAnsi="仿宋" w:eastAsia="仿宋"/>
          <w:sz w:val="32"/>
          <w:szCs w:val="32"/>
          <w:u w:val="single"/>
          <w:lang w:val="en-US" w:eastAsia="zh-CN"/>
        </w:rPr>
        <w:t>15.12</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lang w:val="en-US" w:eastAsia="zh-CN"/>
        </w:rPr>
        <w:t>15.12</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lang w:val="en-US" w:eastAsia="zh-CN"/>
        </w:rPr>
        <w:t>2</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z w:val="32"/>
          <w:szCs w:val="32"/>
          <w:u w:val="single"/>
        </w:rPr>
        <w:t>0.1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lang w:val="en-US" w:eastAsia="zh-CN"/>
        </w:rPr>
        <w:t>0.55</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lang w:val="en-US" w:eastAsia="zh-CN"/>
        </w:rPr>
        <w:t>0.33</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lang w:val="en-US" w:eastAsia="zh-CN"/>
        </w:rPr>
        <w:t>1.4</w:t>
      </w:r>
      <w:r>
        <w:rPr>
          <w:rFonts w:hint="eastAsia" w:ascii="仿宋" w:hAnsi="仿宋" w:eastAsia="仿宋"/>
          <w:sz w:val="32"/>
          <w:szCs w:val="32"/>
        </w:rPr>
        <w:t>万元、工会经费</w:t>
      </w:r>
      <w:r>
        <w:rPr>
          <w:rFonts w:hint="eastAsia" w:ascii="仿宋" w:hAnsi="仿宋" w:eastAsia="仿宋"/>
          <w:sz w:val="32"/>
          <w:szCs w:val="32"/>
          <w:u w:val="single"/>
          <w:lang w:val="en-US" w:eastAsia="zh-CN"/>
        </w:rPr>
        <w:t>3.12</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lang w:val="en-US" w:eastAsia="zh-CN"/>
        </w:rPr>
        <w:t>0.05</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lang w:val="en-US" w:eastAsia="zh-CN"/>
        </w:rPr>
        <w:t>3.77</w:t>
      </w:r>
      <w:r>
        <w:rPr>
          <w:rFonts w:hint="eastAsia" w:ascii="仿宋" w:hAnsi="仿宋" w:eastAsia="仿宋"/>
          <w:sz w:val="32"/>
          <w:szCs w:val="32"/>
        </w:rPr>
        <w:t>万元</w:t>
      </w:r>
      <w:r>
        <w:rPr>
          <w:rFonts w:hint="eastAsia" w:ascii="仿宋" w:hAnsi="仿宋" w:eastAsia="仿宋"/>
          <w:sz w:val="32"/>
          <w:szCs w:val="32"/>
          <w:lang w:eastAsia="zh-CN"/>
        </w:rPr>
        <w:t>、印刷费</w:t>
      </w:r>
      <w:r>
        <w:rPr>
          <w:rFonts w:hint="eastAsia" w:ascii="仿宋" w:hAnsi="仿宋" w:eastAsia="仿宋"/>
          <w:sz w:val="32"/>
          <w:szCs w:val="32"/>
          <w:lang w:val="en-US" w:eastAsia="zh-CN"/>
        </w:rPr>
        <w:t>0.5，维修维护0.3万元，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pStyle w:val="5"/>
        <w:spacing w:before="0" w:beforeAutospacing="0" w:after="0" w:afterAutospacing="0" w:line="720" w:lineRule="auto"/>
        <w:ind w:firstLine="640" w:firstLineChars="20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工布江达县应急管理局2024年“三公”经费预算数3万元，其中：公务用车购置及运行费3万元，全部为公务用车运行费；本单位2024年无公务接待费、无因公出国（境）费。</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我部门2024年度没有政府性基金“三公”经费安排的支出，2023年也没有政府性基金“三公”经费安排的支出。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年部门的机关运行经费财政拨款预算</w:t>
      </w:r>
      <w:r>
        <w:rPr>
          <w:rFonts w:hint="eastAsia" w:ascii="仿宋" w:hAnsi="仿宋" w:eastAsia="仿宋"/>
          <w:sz w:val="32"/>
          <w:szCs w:val="32"/>
          <w:u w:val="single"/>
          <w:lang w:val="en-US" w:eastAsia="zh-CN"/>
        </w:rPr>
        <w:t>15.12</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lang w:val="en-US" w:eastAsia="zh-CN"/>
        </w:rPr>
        <w:t>0.16</w:t>
      </w:r>
      <w:r>
        <w:rPr>
          <w:rFonts w:hint="eastAsia" w:ascii="仿宋" w:hAnsi="仿宋" w:eastAsia="仿宋"/>
          <w:sz w:val="32"/>
          <w:szCs w:val="32"/>
        </w:rPr>
        <w:t>万元，降低</w:t>
      </w:r>
      <w:r>
        <w:rPr>
          <w:rFonts w:hint="eastAsia" w:ascii="仿宋" w:hAnsi="仿宋" w:eastAsia="仿宋"/>
          <w:sz w:val="32"/>
          <w:szCs w:val="32"/>
          <w:u w:val="single"/>
          <w:lang w:val="en-US" w:eastAsia="zh-CN"/>
        </w:rPr>
        <w:t>1.05</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辆，没有单位价值超过50万元的通用设备，也没有单位价值超过100万元的专用设备。</w:t>
      </w:r>
    </w:p>
    <w:p>
      <w:pPr>
        <w:ind w:firstLine="640" w:firstLineChars="200"/>
        <w:rPr>
          <w:rFonts w:ascii="楷体" w:hAnsi="楷体" w:eastAsia="楷体"/>
          <w:sz w:val="32"/>
          <w:szCs w:val="32"/>
        </w:rPr>
      </w:pPr>
      <w:r>
        <w:rPr>
          <w:rFonts w:hint="eastAsia" w:ascii="楷体" w:hAnsi="楷体" w:eastAsia="楷体"/>
          <w:sz w:val="32"/>
          <w:szCs w:val="32"/>
        </w:rPr>
        <w:t>（</w:t>
      </w:r>
      <w:r>
        <w:rPr>
          <w:rFonts w:hint="eastAsia" w:ascii="楷体" w:hAnsi="楷体" w:eastAsia="楷体"/>
          <w:sz w:val="32"/>
          <w:szCs w:val="32"/>
          <w:lang w:eastAsia="zh-CN"/>
        </w:rPr>
        <w:t>四</w:t>
      </w:r>
      <w:r>
        <w:rPr>
          <w:rFonts w:hint="eastAsia" w:ascii="楷体" w:hAnsi="楷体" w:eastAsia="楷体"/>
          <w:sz w:val="32"/>
          <w:szCs w:val="32"/>
        </w:rPr>
        <w:t>）扶贫资金管理使用情况及绩效目标情况说明。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w:t>
      </w:r>
      <w:r>
        <w:rPr>
          <w:rFonts w:hint="eastAsia" w:ascii="楷体" w:hAnsi="楷体" w:eastAsia="楷体"/>
          <w:sz w:val="32"/>
          <w:szCs w:val="32"/>
          <w:lang w:eastAsia="zh-CN"/>
        </w:rPr>
        <w:t>五</w:t>
      </w:r>
      <w:r>
        <w:rPr>
          <w:rFonts w:hint="eastAsia" w:ascii="楷体" w:hAnsi="楷体" w:eastAsia="楷体"/>
          <w:sz w:val="32"/>
          <w:szCs w:val="32"/>
        </w:rPr>
        <w:t>）政府债务情况。</w:t>
      </w:r>
      <w:bookmarkStart w:id="0" w:name="_GoBack"/>
      <w:bookmarkEnd w:id="0"/>
    </w:p>
    <w:p>
      <w:pPr>
        <w:ind w:firstLine="640" w:firstLineChars="200"/>
        <w:rPr>
          <w:rFonts w:ascii="仿宋" w:hAnsi="仿宋" w:eastAsia="仿宋"/>
          <w:sz w:val="32"/>
          <w:szCs w:val="32"/>
        </w:rPr>
      </w:pPr>
      <w:r>
        <w:rPr>
          <w:rFonts w:hint="eastAsia" w:ascii="仿宋" w:hAnsi="仿宋" w:eastAsia="仿宋"/>
          <w:sz w:val="32"/>
          <w:szCs w:val="32"/>
        </w:rPr>
        <w:t>我部门截止2024年1月31日，没有待偿还的债务、待回购股权投资和应付工程物资款，特此说明。</w:t>
      </w:r>
    </w:p>
    <w:p>
      <w:pPr>
        <w:ind w:firstLine="640" w:firstLineChars="200"/>
        <w:rPr>
          <w:rFonts w:hint="eastAsia"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608"/>
    <w:rsid w:val="00096F91"/>
    <w:rsid w:val="000A0C03"/>
    <w:rsid w:val="000A1AFA"/>
    <w:rsid w:val="000A2246"/>
    <w:rsid w:val="000A6427"/>
    <w:rsid w:val="000A7168"/>
    <w:rsid w:val="000A7A82"/>
    <w:rsid w:val="000B07BA"/>
    <w:rsid w:val="000D1A92"/>
    <w:rsid w:val="000D214F"/>
    <w:rsid w:val="000D4466"/>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23C1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C5BE1"/>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20E2B99"/>
    <w:rsid w:val="02480FBF"/>
    <w:rsid w:val="03D64B13"/>
    <w:rsid w:val="083333D2"/>
    <w:rsid w:val="0859248B"/>
    <w:rsid w:val="0BC905AF"/>
    <w:rsid w:val="0F0737D9"/>
    <w:rsid w:val="0F8C4C17"/>
    <w:rsid w:val="100B7ABB"/>
    <w:rsid w:val="10586DB3"/>
    <w:rsid w:val="15263D12"/>
    <w:rsid w:val="17603EA8"/>
    <w:rsid w:val="188D65A0"/>
    <w:rsid w:val="1A692C4F"/>
    <w:rsid w:val="1B3A6F0C"/>
    <w:rsid w:val="1BFF17CC"/>
    <w:rsid w:val="1CF74EB5"/>
    <w:rsid w:val="20C97B06"/>
    <w:rsid w:val="226E472C"/>
    <w:rsid w:val="24987669"/>
    <w:rsid w:val="254A5449"/>
    <w:rsid w:val="27546E18"/>
    <w:rsid w:val="2ACF3C36"/>
    <w:rsid w:val="2B0C5FD0"/>
    <w:rsid w:val="2B8B53B7"/>
    <w:rsid w:val="30857A23"/>
    <w:rsid w:val="31764B15"/>
    <w:rsid w:val="32602396"/>
    <w:rsid w:val="342443C1"/>
    <w:rsid w:val="359C2613"/>
    <w:rsid w:val="371C6BF3"/>
    <w:rsid w:val="37226C4D"/>
    <w:rsid w:val="37F673D7"/>
    <w:rsid w:val="38BD1CCA"/>
    <w:rsid w:val="394F582A"/>
    <w:rsid w:val="396F0D73"/>
    <w:rsid w:val="39975883"/>
    <w:rsid w:val="3B0133FB"/>
    <w:rsid w:val="3DF6792A"/>
    <w:rsid w:val="3E2C4C4E"/>
    <w:rsid w:val="3E981E87"/>
    <w:rsid w:val="3F5A5A11"/>
    <w:rsid w:val="40A63E1F"/>
    <w:rsid w:val="40DF660D"/>
    <w:rsid w:val="418A0303"/>
    <w:rsid w:val="423A310D"/>
    <w:rsid w:val="43BC57F0"/>
    <w:rsid w:val="445E4D6B"/>
    <w:rsid w:val="44D07F6C"/>
    <w:rsid w:val="45806C10"/>
    <w:rsid w:val="47A2239B"/>
    <w:rsid w:val="4937433B"/>
    <w:rsid w:val="49FC5645"/>
    <w:rsid w:val="4C0C4C24"/>
    <w:rsid w:val="4C751084"/>
    <w:rsid w:val="4CB25846"/>
    <w:rsid w:val="4D374034"/>
    <w:rsid w:val="4E65229B"/>
    <w:rsid w:val="4F024B53"/>
    <w:rsid w:val="537A25D5"/>
    <w:rsid w:val="541E66FE"/>
    <w:rsid w:val="597C077A"/>
    <w:rsid w:val="59C3055D"/>
    <w:rsid w:val="5E5F5F1E"/>
    <w:rsid w:val="5FF617E6"/>
    <w:rsid w:val="63AC6188"/>
    <w:rsid w:val="64713D62"/>
    <w:rsid w:val="64972211"/>
    <w:rsid w:val="669936A2"/>
    <w:rsid w:val="66D40F4C"/>
    <w:rsid w:val="67910B42"/>
    <w:rsid w:val="68A13798"/>
    <w:rsid w:val="6CF966C7"/>
    <w:rsid w:val="7047587D"/>
    <w:rsid w:val="719C35AD"/>
    <w:rsid w:val="71B65650"/>
    <w:rsid w:val="72B47AF7"/>
    <w:rsid w:val="72C53E46"/>
    <w:rsid w:val="74AE0331"/>
    <w:rsid w:val="74B4744F"/>
    <w:rsid w:val="75093BC4"/>
    <w:rsid w:val="7B6C357A"/>
    <w:rsid w:val="7BDD43CF"/>
    <w:rsid w:val="7EC923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unhideWhenUsed/>
    <w:qFormat/>
    <w:uiPriority w:val="0"/>
    <w:pPr>
      <w:spacing w:before="100" w:beforeLines="0" w:beforeAutospacing="1" w:after="100" w:afterLines="0" w:afterAutospacing="1"/>
      <w:jc w:val="left"/>
    </w:pPr>
    <w:rPr>
      <w:rFonts w:hint="default" w:ascii="Calibri" w:hAnsi="Calibri"/>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874</Words>
  <Characters>4983</Characters>
  <Lines>41</Lines>
  <Paragraphs>11</Paragraphs>
  <TotalTime>5</TotalTime>
  <ScaleCrop>false</ScaleCrop>
  <LinksUpToDate>false</LinksUpToDate>
  <CharactersWithSpaces>5846</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2024-02-05T10:14:29Z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3170BF808294455E9840A443CD4013F1_12</vt:lpwstr>
  </property>
</Properties>
</file>