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工布江达县信访局2024年度部门预算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lang w:val="en-US" w:eastAsia="zh-CN"/>
        </w:rPr>
      </w:pPr>
      <w:r>
        <w:rPr>
          <w:rFonts w:hint="eastAsia" w:ascii="仿宋" w:hAnsi="仿宋" w:eastAsia="仿宋"/>
          <w:sz w:val="32"/>
          <w:szCs w:val="32"/>
          <w:lang w:val="en-US" w:eastAsia="zh-CN"/>
        </w:rPr>
        <w:t>二〇二四年一月三十一日</w:t>
      </w: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工布江达县信访局概况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工布江达县信访局预算明细表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工布江达县信访局预算数据分析</w:t>
      </w:r>
    </w:p>
    <w:p>
      <w:pPr>
        <w:rPr>
          <w:rFonts w:ascii="黑体" w:hAnsi="黑体" w:eastAsia="黑体"/>
          <w:sz w:val="32"/>
          <w:szCs w:val="32"/>
        </w:rPr>
      </w:pPr>
      <w:r>
        <w:rPr>
          <w:rFonts w:hint="eastAsia" w:ascii="黑体" w:hAnsi="黑体" w:eastAsia="黑体"/>
          <w:sz w:val="32"/>
          <w:szCs w:val="32"/>
        </w:rPr>
        <w:t>一、部门收支总体情况</w:t>
      </w:r>
    </w:p>
    <w:p>
      <w:pPr>
        <w:rPr>
          <w:rFonts w:ascii="黑体" w:hAnsi="黑体" w:eastAsia="黑体"/>
          <w:sz w:val="32"/>
          <w:szCs w:val="32"/>
        </w:rPr>
      </w:pPr>
      <w:r>
        <w:rPr>
          <w:rFonts w:hint="eastAsia" w:ascii="黑体" w:hAnsi="黑体" w:eastAsia="黑体"/>
          <w:sz w:val="32"/>
          <w:szCs w:val="32"/>
        </w:rPr>
        <w:t>二、部门收入总体情况</w:t>
      </w:r>
    </w:p>
    <w:p>
      <w:pPr>
        <w:rPr>
          <w:rFonts w:ascii="黑体" w:hAnsi="黑体" w:eastAsia="黑体"/>
          <w:sz w:val="32"/>
          <w:szCs w:val="32"/>
        </w:rPr>
      </w:pPr>
      <w:r>
        <w:rPr>
          <w:rFonts w:hint="eastAsia" w:ascii="黑体" w:hAnsi="黑体" w:eastAsia="黑体"/>
          <w:sz w:val="32"/>
          <w:szCs w:val="32"/>
        </w:rPr>
        <w:t>三、部门支出总体情况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工布江达县信访局概况</w:t>
      </w:r>
    </w:p>
    <w:p>
      <w:pPr>
        <w:rPr>
          <w:rFonts w:ascii="仿宋" w:hAnsi="仿宋" w:eastAsia="仿宋"/>
          <w:sz w:val="32"/>
          <w:szCs w:val="32"/>
        </w:rPr>
      </w:pPr>
    </w:p>
    <w:p>
      <w:pPr>
        <w:ind w:firstLine="640" w:firstLineChars="200"/>
        <w:rPr>
          <w:rFonts w:hint="eastAsia" w:ascii="黑体" w:hAnsi="黑体" w:eastAsia="黑体"/>
          <w:sz w:val="32"/>
          <w:szCs w:val="32"/>
        </w:rPr>
      </w:pPr>
      <w:r>
        <w:rPr>
          <w:rFonts w:hint="eastAsia" w:ascii="黑体" w:hAnsi="黑体" w:eastAsia="黑体"/>
          <w:sz w:val="32"/>
          <w:szCs w:val="32"/>
          <w:lang w:val="en-US" w:eastAsia="zh-CN"/>
        </w:rPr>
        <w:t xml:space="preserve">  </w:t>
      </w:r>
      <w:r>
        <w:rPr>
          <w:rFonts w:hint="eastAsia" w:ascii="黑体" w:hAnsi="黑体" w:eastAsia="黑体"/>
          <w:sz w:val="32"/>
          <w:szCs w:val="32"/>
          <w:lang w:eastAsia="zh-CN"/>
        </w:rPr>
        <w:t>一</w:t>
      </w:r>
      <w:r>
        <w:rPr>
          <w:rFonts w:hint="eastAsia" w:ascii="黑体" w:hAnsi="黑体" w:eastAsia="黑体"/>
          <w:sz w:val="32"/>
          <w:szCs w:val="32"/>
        </w:rPr>
        <w:t>、部门职责和机构设置</w:t>
      </w:r>
    </w:p>
    <w:p>
      <w:pPr>
        <w:ind w:firstLine="640" w:firstLineChars="200"/>
        <w:rPr>
          <w:rFonts w:hint="eastAsia" w:ascii="黑体" w:hAnsi="黑体" w:eastAsia="黑体"/>
          <w:sz w:val="32"/>
          <w:szCs w:val="32"/>
        </w:rPr>
      </w:pPr>
      <w:r>
        <w:rPr>
          <w:rFonts w:hint="eastAsia" w:ascii="黑体" w:hAnsi="黑体" w:eastAsia="黑体"/>
          <w:sz w:val="32"/>
          <w:szCs w:val="32"/>
          <w:lang w:val="en-US" w:eastAsia="zh-CN"/>
        </w:rPr>
        <w:t xml:space="preserve"> </w:t>
      </w:r>
      <w:r>
        <w:rPr>
          <w:rFonts w:hint="eastAsia" w:ascii="黑体" w:hAnsi="黑体" w:eastAsia="黑体"/>
          <w:sz w:val="32"/>
          <w:szCs w:val="32"/>
        </w:rPr>
        <w:t>内设机构划分及主要职责</w:t>
      </w:r>
    </w:p>
    <w:p>
      <w:pPr>
        <w:ind w:firstLine="640" w:firstLineChars="200"/>
        <w:rPr>
          <w:rFonts w:hint="eastAsia" w:ascii="黑体" w:hAnsi="黑体" w:eastAsia="黑体"/>
          <w:sz w:val="32"/>
          <w:szCs w:val="32"/>
        </w:rPr>
      </w:pPr>
      <w:r>
        <w:rPr>
          <w:rFonts w:hint="eastAsia" w:ascii="黑体" w:hAnsi="黑体" w:eastAsia="黑体"/>
          <w:sz w:val="32"/>
          <w:szCs w:val="32"/>
        </w:rPr>
        <w:t>1、综合办公室</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主要负责日常运转工作，承担党建、党风廉政、安全、保密、政务公开、社会管理综合治理、矛盾纠纷排查调处工作等工作。协调与维护稳定相关工作。</w:t>
      </w:r>
    </w:p>
    <w:p>
      <w:pPr>
        <w:ind w:firstLine="640" w:firstLineChars="200"/>
        <w:rPr>
          <w:rFonts w:hint="eastAsia" w:ascii="黑体" w:hAnsi="黑体" w:eastAsia="黑体"/>
          <w:sz w:val="32"/>
          <w:szCs w:val="32"/>
        </w:rPr>
      </w:pPr>
      <w:r>
        <w:rPr>
          <w:rFonts w:hint="eastAsia" w:ascii="黑体" w:hAnsi="黑体" w:eastAsia="黑体"/>
          <w:sz w:val="32"/>
          <w:szCs w:val="32"/>
          <w:lang w:val="en-US" w:eastAsia="zh-CN"/>
        </w:rPr>
        <w:t>2</w:t>
      </w:r>
      <w:r>
        <w:rPr>
          <w:rFonts w:hint="eastAsia" w:ascii="黑体" w:hAnsi="黑体" w:eastAsia="黑体"/>
          <w:sz w:val="32"/>
          <w:szCs w:val="32"/>
        </w:rPr>
        <w:t>、财务室</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主要承担机关财政预决算的制定和财务日常管理工作。</w:t>
      </w:r>
    </w:p>
    <w:p>
      <w:pPr>
        <w:ind w:firstLine="640" w:firstLineChars="200"/>
        <w:rPr>
          <w:rFonts w:hint="eastAsia" w:ascii="黑体" w:hAnsi="黑体" w:eastAsia="黑体"/>
          <w:sz w:val="32"/>
          <w:szCs w:val="32"/>
        </w:rPr>
      </w:pPr>
      <w:r>
        <w:rPr>
          <w:rFonts w:hint="eastAsia" w:ascii="黑体" w:hAnsi="黑体" w:eastAsia="黑体"/>
          <w:sz w:val="32"/>
          <w:szCs w:val="32"/>
          <w:lang w:eastAsia="zh-CN"/>
        </w:rPr>
        <w:t>二</w:t>
      </w:r>
      <w:r>
        <w:rPr>
          <w:rFonts w:hint="eastAsia" w:ascii="黑体" w:hAnsi="黑体" w:eastAsia="黑体"/>
          <w:sz w:val="32"/>
          <w:szCs w:val="32"/>
        </w:rPr>
        <w:t>、部门预算单位构成</w:t>
      </w:r>
    </w:p>
    <w:p>
      <w:pPr>
        <w:ind w:firstLine="640" w:firstLineChars="200"/>
        <w:rPr>
          <w:rFonts w:hint="eastAsia" w:ascii="仿宋" w:hAnsi="仿宋" w:eastAsia="仿宋"/>
          <w:sz w:val="32"/>
          <w:szCs w:val="32"/>
        </w:rPr>
      </w:pPr>
      <w:r>
        <w:rPr>
          <w:rFonts w:hint="eastAsia" w:ascii="仿宋" w:hAnsi="仿宋" w:eastAsia="仿宋"/>
          <w:sz w:val="32"/>
          <w:szCs w:val="32"/>
        </w:rPr>
        <w:t>工布江达县信访局为一级预算单位（综合办</w:t>
      </w:r>
      <w:r>
        <w:rPr>
          <w:rFonts w:hint="eastAsia" w:ascii="仿宋" w:hAnsi="仿宋" w:eastAsia="仿宋"/>
          <w:sz w:val="32"/>
          <w:szCs w:val="32"/>
          <w:lang w:eastAsia="zh-CN"/>
        </w:rPr>
        <w:t>、</w:t>
      </w:r>
      <w:r>
        <w:rPr>
          <w:rFonts w:hint="eastAsia" w:ascii="仿宋" w:hAnsi="仿宋" w:eastAsia="仿宋"/>
          <w:sz w:val="32"/>
          <w:szCs w:val="32"/>
        </w:rPr>
        <w:t>财务室）</w:t>
      </w:r>
      <w:r>
        <w:rPr>
          <w:rFonts w:hint="eastAsia" w:ascii="仿宋" w:hAnsi="仿宋" w:eastAsia="仿宋"/>
          <w:sz w:val="32"/>
          <w:szCs w:val="32"/>
          <w:lang w:eastAsia="zh-CN"/>
        </w:rPr>
        <w:t>，没有纳入预算范围的二级预算单位</w:t>
      </w:r>
      <w:r>
        <w:rPr>
          <w:rFonts w:hint="eastAsia" w:ascii="仿宋" w:hAnsi="仿宋" w:eastAsia="仿宋"/>
          <w:sz w:val="32"/>
          <w:szCs w:val="32"/>
        </w:rPr>
        <w:t>。</w:t>
      </w: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工布江达县信访局2024年度预算明细表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黑体" w:hAnsi="黑体" w:eastAsia="黑体"/>
          <w:sz w:val="32"/>
          <w:szCs w:val="32"/>
        </w:rPr>
      </w:pPr>
      <w:bookmarkStart w:id="0" w:name="_GoBack"/>
      <w:bookmarkEnd w:id="0"/>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工布江达县信访局2024年度部门预算数据分析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145.15</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145.15</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108.77</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15.5</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9.33</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11.55</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145.15</w:t>
      </w:r>
      <w:r>
        <w:rPr>
          <w:rFonts w:hint="eastAsia" w:ascii="仿宋" w:hAnsi="仿宋" w:eastAsia="仿宋"/>
          <w:sz w:val="32"/>
          <w:szCs w:val="32"/>
          <w:u w:val="single"/>
        </w:rPr>
        <w:t xml:space="preserve">  </w:t>
      </w:r>
      <w:r>
        <w:rPr>
          <w:rFonts w:hint="eastAsia" w:ascii="仿宋" w:hAnsi="仿宋" w:eastAsia="仿宋"/>
          <w:sz w:val="32"/>
          <w:szCs w:val="32"/>
        </w:rPr>
        <w:t>万元，同比增加减少</w:t>
      </w:r>
      <w:r>
        <w:rPr>
          <w:rFonts w:hint="eastAsia" w:ascii="仿宋" w:hAnsi="仿宋" w:eastAsia="仿宋"/>
          <w:sz w:val="32"/>
          <w:szCs w:val="32"/>
          <w:u w:val="single"/>
          <w:lang w:val="en-US" w:eastAsia="zh-CN"/>
        </w:rPr>
        <w:t>4.64</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上年结转结余</w:t>
      </w:r>
      <w:r>
        <w:rPr>
          <w:rFonts w:hint="eastAsia" w:ascii="仿宋" w:hAnsi="仿宋" w:eastAsia="仿宋"/>
          <w:sz w:val="32"/>
          <w:szCs w:val="32"/>
          <w:u w:val="single"/>
          <w:lang w:eastAsia="zh-CN"/>
        </w:rPr>
        <w:t>减少</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145.15</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145.15</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4.64</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项目支出</w:t>
      </w:r>
      <w:r>
        <w:rPr>
          <w:rFonts w:hint="eastAsia" w:ascii="仿宋" w:hAnsi="仿宋" w:eastAsia="仿宋"/>
          <w:sz w:val="32"/>
          <w:szCs w:val="32"/>
          <w:u w:val="single"/>
          <w:lang w:eastAsia="zh-CN"/>
        </w:rPr>
        <w:t>减少</w:t>
      </w:r>
      <w:r>
        <w:rPr>
          <w:rFonts w:ascii="仿宋" w:hAnsi="仿宋" w:eastAsia="仿宋"/>
          <w:sz w:val="32"/>
          <w:szCs w:val="32"/>
          <w:u w:val="single"/>
        </w:rPr>
        <w:t xml:space="preserve"> </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145.15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145.15</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4.64</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一般公共服务支出</w:t>
      </w:r>
      <w:r>
        <w:rPr>
          <w:rFonts w:hint="eastAsia" w:ascii="仿宋" w:hAnsi="仿宋" w:eastAsia="仿宋"/>
          <w:sz w:val="32"/>
          <w:szCs w:val="32"/>
          <w:u w:val="single"/>
          <w:lang w:eastAsia="zh-CN"/>
        </w:rPr>
        <w:t>减少</w:t>
      </w:r>
      <w:r>
        <w:rPr>
          <w:rFonts w:hint="eastAsia" w:ascii="仿宋" w:hAnsi="仿宋" w:eastAsia="仿宋"/>
          <w:sz w:val="32"/>
          <w:szCs w:val="32"/>
          <w:u w:val="single"/>
        </w:rPr>
        <w:t xml:space="preserve"> </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145.15</w:t>
      </w:r>
      <w:r>
        <w:rPr>
          <w:rFonts w:hint="eastAsia" w:ascii="仿宋" w:hAnsi="仿宋" w:eastAsia="仿宋"/>
          <w:sz w:val="32"/>
          <w:szCs w:val="32"/>
          <w:u w:val="single"/>
        </w:rPr>
        <w:t xml:space="preserve"> </w:t>
      </w:r>
      <w:r>
        <w:rPr>
          <w:rFonts w:hint="eastAsia" w:ascii="仿宋" w:hAnsi="仿宋" w:eastAsia="仿宋"/>
          <w:sz w:val="32"/>
          <w:szCs w:val="32"/>
        </w:rPr>
        <w:t>万元；支出包括：一般公共服务支出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108.77</w:t>
      </w:r>
      <w:r>
        <w:rPr>
          <w:rFonts w:hint="eastAsia" w:ascii="仿宋" w:hAnsi="仿宋" w:eastAsia="仿宋"/>
          <w:sz w:val="32"/>
          <w:szCs w:val="32"/>
          <w:u w:val="single"/>
        </w:rPr>
        <w:t xml:space="preserve">  </w:t>
      </w:r>
      <w:r>
        <w:rPr>
          <w:rFonts w:hint="eastAsia" w:ascii="仿宋" w:hAnsi="仿宋" w:eastAsia="仿宋"/>
          <w:sz w:val="32"/>
          <w:szCs w:val="32"/>
        </w:rPr>
        <w:t>万元、社会保障和就业支出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15.5</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9.33</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11.55</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145.15</w:t>
      </w:r>
      <w:r>
        <w:rPr>
          <w:rFonts w:hint="eastAsia" w:ascii="仿宋" w:hAnsi="仿宋" w:eastAsia="仿宋"/>
          <w:sz w:val="32"/>
          <w:szCs w:val="32"/>
          <w:u w:val="single"/>
        </w:rPr>
        <w:t xml:space="preserve">  </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4.64</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rPr>
        <w:t xml:space="preserve"> 一般公共服务支出</w:t>
      </w:r>
      <w:r>
        <w:rPr>
          <w:rFonts w:hint="eastAsia" w:ascii="仿宋" w:hAnsi="仿宋" w:eastAsia="仿宋"/>
          <w:sz w:val="32"/>
          <w:szCs w:val="32"/>
          <w:u w:val="single"/>
          <w:lang w:eastAsia="zh-CN"/>
        </w:rPr>
        <w:t>减少</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145.15</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108.77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74.94</w:t>
      </w:r>
      <w:r>
        <w:rPr>
          <w:rFonts w:hint="eastAsia" w:ascii="仿宋" w:hAnsi="仿宋" w:eastAsia="仿宋"/>
          <w:sz w:val="32"/>
          <w:szCs w:val="32"/>
          <w:u w:val="single"/>
        </w:rPr>
        <w:t xml:space="preserve">  </w:t>
      </w:r>
      <w:r>
        <w:rPr>
          <w:rFonts w:hint="eastAsia" w:ascii="仿宋" w:hAnsi="仿宋" w:eastAsia="仿宋"/>
          <w:sz w:val="32"/>
          <w:szCs w:val="32"/>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10.68</w:t>
      </w:r>
      <w:r>
        <w:rPr>
          <w:rFonts w:hint="eastAsia" w:ascii="仿宋" w:hAnsi="仿宋" w:eastAsia="仿宋"/>
          <w:sz w:val="32"/>
          <w:szCs w:val="32"/>
          <w:u w:val="single"/>
        </w:rPr>
        <w:t xml:space="preserve">  </w:t>
      </w:r>
      <w:r>
        <w:rPr>
          <w:rFonts w:hint="eastAsia" w:ascii="仿宋" w:hAnsi="仿宋" w:eastAsia="仿宋"/>
          <w:sz w:val="32"/>
          <w:szCs w:val="32"/>
        </w:rPr>
        <w:t>%；卫生健康支出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9.33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6.43</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；住房保障支出</w:t>
      </w:r>
      <w:r>
        <w:rPr>
          <w:rFonts w:hint="eastAsia" w:ascii="仿宋" w:hAnsi="仿宋" w:eastAsia="仿宋"/>
          <w:sz w:val="32"/>
          <w:szCs w:val="32"/>
          <w:lang w:val="en-US" w:eastAsia="zh-CN"/>
        </w:rPr>
        <w:t>11.55万元，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7.95</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1.一般公共服务支出（类）信访事务（款）行政运行（项）预算数为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108.77</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108.77</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w:t>
      </w:r>
      <w:r>
        <w:rPr>
          <w:rFonts w:hint="eastAsia" w:ascii="仿宋" w:hAnsi="仿宋" w:eastAsia="仿宋"/>
          <w:sz w:val="32"/>
          <w:szCs w:val="32"/>
        </w:rPr>
        <w:t>行政运行</w:t>
      </w:r>
      <w:r>
        <w:rPr>
          <w:rFonts w:hint="eastAsia" w:ascii="仿宋" w:hAnsi="仿宋" w:eastAsia="仿宋"/>
          <w:sz w:val="32"/>
          <w:szCs w:val="32"/>
          <w:lang w:eastAsia="zh-CN"/>
        </w:rPr>
        <w:t>增加</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2.社会保障和就业支出（类）财政对基本养老保险基金的补助（款）财政对其他基本养老保险基金的补助（项）预算数为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12.24</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2024年财政对其他基本养老保险基金的补助增加。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3.</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11.11</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2024年财政对工伤保险基金的补助增加。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4.</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1.92</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2024年公务员医疗补助没有变化。</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5.</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7.41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0.81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12.27</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2024年财政对职工基本医疗保险基金的补助增加。</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6.</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11.55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0.03</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0.26</w:t>
      </w:r>
      <w:r>
        <w:rPr>
          <w:rFonts w:hint="eastAsia" w:ascii="仿宋" w:hAnsi="仿宋" w:eastAsia="仿宋"/>
          <w:sz w:val="32"/>
          <w:szCs w:val="32"/>
        </w:rPr>
        <w:t xml:space="preserve"> %。主要是</w:t>
      </w:r>
      <w:r>
        <w:rPr>
          <w:rFonts w:hint="eastAsia" w:ascii="仿宋" w:hAnsi="仿宋" w:eastAsia="仿宋"/>
          <w:sz w:val="32"/>
          <w:szCs w:val="32"/>
          <w:lang w:val="en-US" w:eastAsia="zh-CN"/>
        </w:rPr>
        <w:t xml:space="preserve">2024年住房公积金增加。   </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145.15</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135.73</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95.17</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20.64</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67.21</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7.32</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15.4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7.41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1.92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lang w:val="en-US" w:eastAsia="zh-CN"/>
        </w:rPr>
        <w:t>0万元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、住房公积金</w:t>
      </w:r>
      <w:r>
        <w:rPr>
          <w:rFonts w:hint="eastAsia" w:ascii="仿宋" w:hAnsi="仿宋" w:eastAsia="仿宋"/>
          <w:sz w:val="32"/>
          <w:szCs w:val="32"/>
          <w:u w:val="single"/>
          <w:lang w:val="en-US" w:eastAsia="zh-CN"/>
        </w:rPr>
        <w:t>11.55</w:t>
      </w:r>
      <w:r>
        <w:rPr>
          <w:rFonts w:hint="eastAsia" w:ascii="仿宋" w:hAnsi="仿宋" w:eastAsia="仿宋"/>
          <w:sz w:val="32"/>
          <w:szCs w:val="32"/>
          <w:lang w:val="en-US" w:eastAsia="zh-CN"/>
        </w:rPr>
        <w:t>万元、其他工资福利支出</w:t>
      </w:r>
      <w:r>
        <w:rPr>
          <w:rFonts w:hint="eastAsia" w:ascii="仿宋" w:hAnsi="仿宋" w:eastAsia="仿宋"/>
          <w:sz w:val="32"/>
          <w:szCs w:val="32"/>
          <w:u w:val="single"/>
          <w:lang w:val="en-US" w:eastAsia="zh-CN"/>
        </w:rPr>
        <w:t>4.18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9.42</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、水费</w:t>
      </w:r>
      <w:r>
        <w:rPr>
          <w:rFonts w:hint="eastAsia" w:ascii="仿宋" w:hAnsi="仿宋" w:eastAsia="仿宋"/>
          <w:sz w:val="32"/>
          <w:szCs w:val="32"/>
          <w:u w:val="single"/>
          <w:lang w:val="en-US" w:eastAsia="zh-CN"/>
        </w:rPr>
        <w:t>0.05</w:t>
      </w:r>
      <w:r>
        <w:rPr>
          <w:rFonts w:hint="eastAsia" w:ascii="仿宋" w:hAnsi="仿宋" w:eastAsia="仿宋"/>
          <w:sz w:val="32"/>
          <w:szCs w:val="32"/>
          <w:lang w:val="en-US" w:eastAsia="zh-CN"/>
        </w:rPr>
        <w:t>万元</w:t>
      </w:r>
      <w:r>
        <w:rPr>
          <w:rFonts w:hint="eastAsia" w:ascii="仿宋" w:hAnsi="仿宋" w:eastAsia="仿宋"/>
          <w:sz w:val="32"/>
          <w:szCs w:val="32"/>
          <w:lang w:eastAsia="zh-CN"/>
        </w:rPr>
        <w:t>、</w:t>
      </w:r>
      <w:r>
        <w:rPr>
          <w:rFonts w:ascii="仿宋" w:hAnsi="仿宋" w:eastAsia="仿宋"/>
          <w:sz w:val="32"/>
          <w:szCs w:val="32"/>
        </w:rPr>
        <w:t>电费</w:t>
      </w:r>
      <w:r>
        <w:rPr>
          <w:rFonts w:hint="eastAsia" w:ascii="仿宋" w:hAnsi="仿宋" w:eastAsia="仿宋"/>
          <w:sz w:val="32"/>
          <w:szCs w:val="32"/>
          <w:u w:val="single"/>
          <w:lang w:val="en-US" w:eastAsia="zh-CN"/>
        </w:rPr>
        <w:t>0.6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取暖费</w:t>
      </w:r>
      <w:r>
        <w:rPr>
          <w:rFonts w:hint="eastAsia" w:ascii="仿宋" w:hAnsi="仿宋" w:eastAsia="仿宋"/>
          <w:sz w:val="32"/>
          <w:szCs w:val="32"/>
          <w:u w:val="single"/>
          <w:lang w:val="en-US" w:eastAsia="zh-CN"/>
        </w:rPr>
        <w:t>0.3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1.92</w:t>
      </w:r>
      <w:r>
        <w:rPr>
          <w:rFonts w:hint="eastAsia" w:ascii="仿宋" w:hAnsi="仿宋" w:eastAsia="仿宋"/>
          <w:sz w:val="32"/>
          <w:szCs w:val="32"/>
          <w:lang w:val="en-US" w:eastAsia="zh-CN"/>
        </w:rPr>
        <w:t>万元</w:t>
      </w:r>
      <w:r>
        <w:rPr>
          <w:rFonts w:hint="eastAsia" w:ascii="仿宋" w:hAnsi="仿宋" w:eastAsia="仿宋"/>
          <w:sz w:val="32"/>
          <w:szCs w:val="32"/>
        </w:rPr>
        <w:t>、福利费</w:t>
      </w:r>
      <w:r>
        <w:rPr>
          <w:rFonts w:hint="eastAsia" w:ascii="仿宋" w:hAnsi="仿宋" w:eastAsia="仿宋"/>
          <w:sz w:val="32"/>
          <w:szCs w:val="32"/>
          <w:u w:val="single"/>
          <w:lang w:val="en-US" w:eastAsia="zh-CN"/>
        </w:rPr>
        <w:t>0.03</w:t>
      </w:r>
      <w:r>
        <w:rPr>
          <w:rFonts w:hint="eastAsia" w:ascii="仿宋" w:hAnsi="仿宋" w:eastAsia="仿宋"/>
          <w:sz w:val="32"/>
          <w:szCs w:val="32"/>
          <w:lang w:val="en-US" w:eastAsia="zh-CN"/>
        </w:rPr>
        <w:t>万元、其他商品和服务支出</w:t>
      </w:r>
      <w:r>
        <w:rPr>
          <w:rFonts w:hint="eastAsia" w:ascii="仿宋" w:hAnsi="仿宋" w:eastAsia="仿宋"/>
          <w:sz w:val="32"/>
          <w:szCs w:val="32"/>
          <w:u w:val="single"/>
          <w:lang w:val="en-US" w:eastAsia="zh-CN"/>
        </w:rPr>
        <w:t>3.12</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none"/>
        </w:rPr>
        <w:t xml:space="preserve"> 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0.2</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万元，压缩</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%，主要原因是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2024年没有公务用车运行费</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2024年度没有政府性基金“三公”经费支出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2023年度没有政府性基金“三公”经费支出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信访局</w:t>
      </w:r>
      <w:r>
        <w:rPr>
          <w:rFonts w:hint="eastAsia" w:ascii="仿宋" w:hAnsi="仿宋" w:eastAsia="仿宋"/>
          <w:sz w:val="32"/>
          <w:szCs w:val="32"/>
        </w:rPr>
        <w:t>的机关运行经费财政拨款预算</w:t>
      </w:r>
      <w:r>
        <w:rPr>
          <w:rFonts w:hint="eastAsia" w:ascii="仿宋" w:hAnsi="仿宋" w:eastAsia="仿宋"/>
          <w:sz w:val="32"/>
          <w:szCs w:val="32"/>
          <w:u w:val="single"/>
          <w:lang w:val="en-US" w:eastAsia="zh-CN"/>
        </w:rPr>
        <w:t>9.42</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 w:hAnsi="仿宋" w:eastAsia="仿宋"/>
          <w:sz w:val="32"/>
          <w:szCs w:val="32"/>
        </w:rPr>
        <w:t>万元，降低</w:t>
      </w:r>
      <w:r>
        <w:rPr>
          <w:rFonts w:hint="eastAsia" w:ascii="仿宋_GB2312" w:eastAsia="仿宋_GB2312" w:cs="仿宋_GB2312" w:hAnsiTheme="minorHAnsi"/>
          <w:kern w:val="0"/>
          <w:sz w:val="32"/>
          <w:szCs w:val="32"/>
          <w:u w:val="single"/>
          <w:lang w:val="en-US" w:eastAsia="zh-CN"/>
        </w:rPr>
        <w:t>0</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lang w:val="en-US" w:eastAsia="zh-CN"/>
        </w:rPr>
        <w:t>2024年机关运行经费没有变化</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spacing w:line="588" w:lineRule="exact"/>
        <w:ind w:firstLine="640" w:firstLineChars="2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w:t>
      </w:r>
      <w:r>
        <w:rPr>
          <w:rFonts w:hint="eastAsia" w:ascii="仿宋" w:hAnsi="仿宋" w:eastAsia="仿宋"/>
          <w:sz w:val="32"/>
          <w:szCs w:val="32"/>
          <w:lang w:eastAsia="zh-CN"/>
        </w:rPr>
        <w:t>国有资产占有使用</w:t>
      </w:r>
      <w:r>
        <w:rPr>
          <w:rFonts w:hint="eastAsia" w:ascii="仿宋" w:hAnsi="仿宋" w:eastAsia="仿宋"/>
          <w:sz w:val="32"/>
          <w:szCs w:val="32"/>
        </w:rPr>
        <w:t>，特此说明。</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hint="eastAsia" w:ascii="仿宋" w:hAnsi="仿宋" w:eastAsia="仿宋"/>
          <w:sz w:val="32"/>
          <w:szCs w:val="32"/>
        </w:rPr>
      </w:pPr>
      <w:r>
        <w:rPr>
          <w:rFonts w:hint="eastAsia" w:ascii="仿宋" w:hAnsi="仿宋" w:eastAsia="仿宋"/>
          <w:sz w:val="32"/>
          <w:szCs w:val="32"/>
        </w:rPr>
        <w:t>本单位202</w:t>
      </w:r>
      <w:r>
        <w:rPr>
          <w:rFonts w:hint="eastAsia" w:ascii="仿宋" w:hAnsi="仿宋" w:eastAsia="仿宋"/>
          <w:sz w:val="32"/>
          <w:szCs w:val="32"/>
          <w:lang w:val="en-US" w:eastAsia="zh-CN"/>
        </w:rPr>
        <w:t>4</w:t>
      </w:r>
      <w:r>
        <w:rPr>
          <w:rFonts w:hint="eastAsia" w:ascii="仿宋" w:hAnsi="仿宋" w:eastAsia="仿宋"/>
          <w:sz w:val="32"/>
          <w:szCs w:val="32"/>
        </w:rPr>
        <w:t>年，没有</w:t>
      </w:r>
      <w:r>
        <w:rPr>
          <w:rFonts w:hint="eastAsia" w:ascii="仿宋" w:hAnsi="仿宋" w:eastAsia="仿宋"/>
          <w:sz w:val="32"/>
          <w:szCs w:val="32"/>
          <w:lang w:eastAsia="zh-CN"/>
        </w:rPr>
        <w:t>绩效情况预算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本单位202</w:t>
      </w:r>
      <w:r>
        <w:rPr>
          <w:rFonts w:hint="eastAsia" w:ascii="仿宋" w:hAnsi="仿宋" w:eastAsia="仿宋"/>
          <w:sz w:val="32"/>
          <w:szCs w:val="32"/>
          <w:lang w:val="en-US" w:eastAsia="zh-CN"/>
        </w:rPr>
        <w:t>4</w:t>
      </w:r>
      <w:r>
        <w:rPr>
          <w:rFonts w:hint="eastAsia" w:ascii="仿宋" w:hAnsi="仿宋" w:eastAsia="仿宋"/>
          <w:sz w:val="32"/>
          <w:szCs w:val="32"/>
        </w:rPr>
        <w:t>年，没有</w:t>
      </w:r>
      <w:r>
        <w:rPr>
          <w:rFonts w:hint="eastAsia" w:ascii="仿宋" w:hAnsi="仿宋" w:eastAsia="仿宋"/>
          <w:sz w:val="32"/>
          <w:szCs w:val="32"/>
          <w:lang w:eastAsia="zh-CN"/>
        </w:rPr>
        <w:t>扶贫资金管理使用情况及绩效目标情况预算</w:t>
      </w:r>
      <w:r>
        <w:rPr>
          <w:rFonts w:hint="eastAsia" w:ascii="仿宋" w:hAnsi="仿宋" w:eastAsia="仿宋"/>
          <w:sz w:val="32"/>
          <w:szCs w:val="32"/>
        </w:rPr>
        <w:t>，特此说明</w:t>
      </w:r>
      <w:r>
        <w:rPr>
          <w:rFonts w:hint="eastAsia" w:ascii="仿宋" w:hAnsi="仿宋" w:eastAsia="仿宋"/>
          <w:sz w:val="32"/>
          <w:szCs w:val="32"/>
          <w:lang w:eastAsia="zh-CN"/>
        </w:rPr>
        <w:t>。</w:t>
      </w:r>
    </w:p>
    <w:p>
      <w:pPr>
        <w:ind w:firstLine="640" w:firstLineChars="200"/>
        <w:rPr>
          <w:rFonts w:hint="eastAsia" w:ascii="楷体" w:hAnsi="楷体" w:eastAsia="楷体"/>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，没有待偿还的债务、待回购股权投资和应付工程物资款，特此说明</w:t>
      </w:r>
      <w:r>
        <w:rPr>
          <w:rFonts w:hint="eastAsia" w:ascii="仿宋" w:hAnsi="仿宋" w:eastAsia="仿宋"/>
          <w:sz w:val="32"/>
          <w:szCs w:val="32"/>
          <w:lang w:eastAsia="zh-CN"/>
        </w:rPr>
        <w:t>。</w:t>
      </w: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pStyle w:val="6"/>
        <w:spacing w:before="0" w:beforeAutospacing="0" w:after="0" w:afterAutospacing="0" w:line="720" w:lineRule="auto"/>
        <w:ind w:firstLine="480"/>
        <w:rPr>
          <w:rFonts w:hint="eastAsia" w:ascii="宋体" w:hAnsi="宋体"/>
          <w:color w:val="000000"/>
          <w:sz w:val="32"/>
          <w:szCs w:val="32"/>
        </w:rPr>
      </w:pPr>
      <w:r>
        <w:rPr>
          <w:rFonts w:hint="eastAsia" w:ascii="宋体" w:hAnsi="宋体"/>
          <w:color w:val="000000"/>
          <w:sz w:val="32"/>
          <w:szCs w:val="32"/>
        </w:rPr>
        <w:t>一、一般公共预算拨款收入，指财政当年拨付的资金。</w:t>
      </w:r>
    </w:p>
    <w:p>
      <w:pPr>
        <w:pStyle w:val="6"/>
        <w:spacing w:before="0" w:beforeAutospacing="0" w:after="0" w:afterAutospacing="0" w:line="720" w:lineRule="auto"/>
        <w:ind w:firstLine="480"/>
        <w:rPr>
          <w:rFonts w:hint="eastAsia" w:ascii="宋体" w:hAnsi="宋体"/>
          <w:color w:val="000000"/>
          <w:sz w:val="32"/>
          <w:szCs w:val="32"/>
        </w:rPr>
      </w:pPr>
      <w:r>
        <w:rPr>
          <w:rFonts w:hint="eastAsia" w:ascii="宋体" w:hAnsi="宋体"/>
          <w:color w:val="000000"/>
          <w:sz w:val="32"/>
          <w:szCs w:val="32"/>
        </w:rPr>
        <w:t>二、住房保障支出（类）住房改革支出（款），指按照国家政策规定用于住房改革方面的支出。</w:t>
      </w:r>
    </w:p>
    <w:p>
      <w:pPr>
        <w:pStyle w:val="6"/>
        <w:spacing w:before="0" w:beforeAutospacing="0" w:after="0" w:afterAutospacing="0" w:line="720" w:lineRule="auto"/>
        <w:ind w:firstLine="480"/>
        <w:rPr>
          <w:rFonts w:hint="eastAsia" w:ascii="宋体" w:hAnsi="宋体"/>
          <w:color w:val="000000"/>
          <w:sz w:val="32"/>
          <w:szCs w:val="32"/>
        </w:rPr>
      </w:pPr>
      <w:r>
        <w:rPr>
          <w:rFonts w:hint="eastAsia" w:ascii="宋体" w:hAnsi="宋体"/>
          <w:color w:val="000000"/>
          <w:sz w:val="32"/>
          <w:szCs w:val="32"/>
        </w:rPr>
        <w:t>三、基本支出，指为保障机构正常运转，完成日常工作任务而发生的人员支出和公用支出。</w:t>
      </w:r>
    </w:p>
    <w:p>
      <w:pPr>
        <w:pStyle w:val="6"/>
        <w:spacing w:before="0" w:beforeAutospacing="0" w:after="0" w:afterAutospacing="0" w:line="720" w:lineRule="auto"/>
        <w:ind w:firstLine="480"/>
        <w:rPr>
          <w:rFonts w:hint="eastAsia" w:ascii="宋体" w:hAnsi="宋体"/>
          <w:color w:val="000000"/>
          <w:sz w:val="32"/>
          <w:szCs w:val="32"/>
        </w:rPr>
      </w:pPr>
      <w:r>
        <w:rPr>
          <w:rFonts w:hint="eastAsia" w:ascii="宋体" w:hAnsi="宋体"/>
          <w:color w:val="000000"/>
          <w:sz w:val="32"/>
          <w:szCs w:val="32"/>
        </w:rPr>
        <w:t>四、项目支出，指在基本支出之外为完成特定行政任务和事业发展目标所发生的支出。、</w:t>
      </w:r>
    </w:p>
    <w:p>
      <w:pPr>
        <w:pStyle w:val="6"/>
        <w:spacing w:before="0" w:beforeAutospacing="0" w:after="0" w:afterAutospacing="0" w:line="720" w:lineRule="auto"/>
        <w:ind w:firstLine="480"/>
        <w:rPr>
          <w:rFonts w:hint="eastAsia" w:ascii="宋体" w:hAnsi="宋体"/>
          <w:color w:val="000000"/>
          <w:sz w:val="32"/>
          <w:szCs w:val="32"/>
        </w:rPr>
      </w:pPr>
      <w:r>
        <w:rPr>
          <w:rFonts w:hint="eastAsia" w:ascii="宋体" w:hAnsi="宋体"/>
          <w:color w:val="000000"/>
          <w:sz w:val="32"/>
          <w:szCs w:val="32"/>
        </w:rPr>
        <w:t>五、“三公”经费，指纳入中央财政预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ind w:firstLine="640" w:firstLineChars="200"/>
        <w:rPr>
          <w:rFonts w:ascii="仿宋" w:hAnsi="仿宋" w:eastAsia="仿宋"/>
          <w:sz w:val="32"/>
          <w:szCs w:val="32"/>
        </w:rPr>
      </w:pPr>
      <w:r>
        <w:rPr>
          <w:rFonts w:hint="eastAsia" w:ascii="宋体" w:hAnsi="宋体"/>
          <w:color w:val="000000"/>
          <w:sz w:val="32"/>
          <w:szCs w:val="32"/>
        </w:rPr>
        <w:t>六、机关运行经费，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- 3 -</w:t>
    </w:r>
    <w:r>
      <w:rPr>
        <w:rStyle w:val="9"/>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142E3309"/>
    <w:rsid w:val="229752D3"/>
    <w:rsid w:val="22F2603A"/>
    <w:rsid w:val="2A942372"/>
    <w:rsid w:val="36D02E66"/>
    <w:rsid w:val="43C419AB"/>
    <w:rsid w:val="4E9E5917"/>
    <w:rsid w:val="4EA81193"/>
    <w:rsid w:val="68803BBF"/>
    <w:rsid w:val="694A25B3"/>
    <w:rsid w:val="7A8238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semiHidden/>
    <w:unhideWhenUsed/>
    <w:qFormat/>
    <w:uiPriority w:val="99"/>
    <w:rPr>
      <w:sz w:val="18"/>
      <w:szCs w:val="18"/>
    </w:rPr>
  </w:style>
  <w:style w:type="paragraph" w:styleId="4">
    <w:name w:val="footer"/>
    <w:basedOn w:val="1"/>
    <w:link w:val="1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9">
    <w:name w:val="page number"/>
    <w:basedOn w:val="8"/>
    <w:qFormat/>
    <w:uiPriority w:val="0"/>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 w:type="character" w:customStyle="1" w:styleId="12">
    <w:name w:val="批注框文本 字符"/>
    <w:basedOn w:val="8"/>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0</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2024-02-04T08:57:46Z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BB57599ACD5641338D09E4ED431F6DD8_12</vt:lpwstr>
  </property>
</Properties>
</file>