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工布江达县幼儿园2024年度部门（单位）预算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工布江达县幼儿园概况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工布江达县幼儿园预算明细表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工布江达县幼儿园预算数据分析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工布江达县幼儿园概况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pStyle w:val="2"/>
        <w:keepNext w:val="0"/>
        <w:keepLines w:val="0"/>
        <w:pageBreakBefore w:val="0"/>
        <w:widowControl/>
        <w:kinsoku/>
        <w:wordWrap/>
        <w:overflowPunct/>
        <w:topLinePunct w:val="0"/>
        <w:autoSpaceDE/>
        <w:autoSpaceDN/>
        <w:bidi w:val="0"/>
        <w:adjustRightInd/>
        <w:snapToGrid/>
        <w:spacing w:after="0" w:line="576" w:lineRule="exact"/>
        <w:ind w:firstLine="640" w:firstLineChars="200"/>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贯彻执行《中华人民共和国教育法》《中华人民共和国教师法》《幼儿园工作规程》《幼儿园教育指导纲要》《3-6岁儿童发展和指南》等有关法律法规、方针政策，坚持民主管理、依法办园;按照保育和教育相结合的原则，对幼儿实施德、智、体、美各方面全面综合发展的教育;尊重幼儿的人格尊严和权益，尊重幼儿身心发展的特点和规律，为幼儿提供健康、丰富的生活和活动环境，全面实施质量教育:严格执行幼儿园安全、卫生保健制度，保障幼儿生命安全和身心健康;充分利用幼儿园和社区的资源优势，向家长和社会宣传科学育儿理念，提供科学教育指导，促进家庭教育质量的不断提升;承办上级交办的其他工作任务。</w:t>
      </w:r>
    </w:p>
    <w:p>
      <w:pPr>
        <w:ind w:firstLine="640" w:firstLineChars="200"/>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我单位为事业单位，副科级编制机构，没有需要纳入本部门（单位）预算编制范围的二级预算单位。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工布江达县幼儿园2024年度预算明细表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工布江达县幼儿园2024年度部门（单位）预算数据分析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1906.02</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1464.91</w:t>
      </w:r>
      <w:r>
        <w:rPr>
          <w:rFonts w:hint="eastAsia" w:ascii="仿宋" w:hAnsi="仿宋" w:eastAsia="仿宋"/>
          <w:sz w:val="32"/>
          <w:szCs w:val="32"/>
        </w:rPr>
        <w:t>万元，上年结转结余</w:t>
      </w:r>
      <w:r>
        <w:rPr>
          <w:rFonts w:hint="eastAsia" w:ascii="仿宋" w:hAnsi="仿宋" w:eastAsia="仿宋"/>
          <w:sz w:val="32"/>
          <w:szCs w:val="32"/>
          <w:u w:val="single"/>
        </w:rPr>
        <w:t>441.11</w:t>
      </w:r>
      <w:r>
        <w:rPr>
          <w:rFonts w:hint="eastAsia" w:ascii="仿宋" w:hAnsi="仿宋" w:eastAsia="仿宋"/>
          <w:sz w:val="32"/>
          <w:szCs w:val="32"/>
        </w:rPr>
        <w:t>万元；支出包括：一般公共服务支出</w:t>
      </w:r>
      <w:r>
        <w:rPr>
          <w:rFonts w:hint="eastAsia" w:ascii="仿宋" w:hAnsi="仿宋" w:eastAsia="仿宋"/>
          <w:sz w:val="32"/>
          <w:szCs w:val="32"/>
          <w:u w:val="single"/>
        </w:rPr>
        <w:t>1610.23</w:t>
      </w:r>
      <w:r>
        <w:rPr>
          <w:rFonts w:hint="eastAsia" w:ascii="仿宋" w:hAnsi="仿宋" w:eastAsia="仿宋"/>
          <w:sz w:val="32"/>
          <w:szCs w:val="32"/>
        </w:rPr>
        <w:t>万元、社会保障和就业支出</w:t>
      </w:r>
      <w:r>
        <w:rPr>
          <w:rFonts w:hint="eastAsia" w:ascii="仿宋" w:hAnsi="仿宋" w:eastAsia="仿宋"/>
          <w:sz w:val="32"/>
          <w:szCs w:val="32"/>
          <w:u w:val="single"/>
        </w:rPr>
        <w:t>174.35</w:t>
      </w:r>
      <w:r>
        <w:rPr>
          <w:rFonts w:hint="eastAsia" w:ascii="仿宋" w:hAnsi="仿宋" w:eastAsia="仿宋"/>
          <w:sz w:val="32"/>
          <w:szCs w:val="32"/>
        </w:rPr>
        <w:t>万元、卫生健康支出</w:t>
      </w:r>
      <w:r>
        <w:rPr>
          <w:rFonts w:hint="eastAsia" w:ascii="仿宋" w:hAnsi="仿宋" w:eastAsia="仿宋"/>
          <w:sz w:val="32"/>
          <w:szCs w:val="32"/>
          <w:u w:val="single"/>
        </w:rPr>
        <w:t>80.63</w:t>
      </w:r>
      <w:r>
        <w:rPr>
          <w:rFonts w:hint="eastAsia" w:ascii="仿宋" w:hAnsi="仿宋" w:eastAsia="仿宋"/>
          <w:sz w:val="32"/>
          <w:szCs w:val="32"/>
        </w:rPr>
        <w:t>万元、住房保障支出</w:t>
      </w:r>
      <w:r>
        <w:rPr>
          <w:rFonts w:hint="eastAsia" w:ascii="仿宋" w:hAnsi="仿宋" w:eastAsia="仿宋"/>
          <w:sz w:val="32"/>
          <w:szCs w:val="32"/>
          <w:u w:val="single"/>
        </w:rPr>
        <w:t>40.81</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1906.02</w:t>
      </w:r>
      <w:r>
        <w:rPr>
          <w:rFonts w:hint="eastAsia" w:ascii="仿宋" w:hAnsi="仿宋" w:eastAsia="仿宋"/>
          <w:sz w:val="32"/>
          <w:szCs w:val="32"/>
        </w:rPr>
        <w:t>万元，同比增加</w:t>
      </w:r>
      <w:r>
        <w:rPr>
          <w:rFonts w:hint="eastAsia" w:ascii="仿宋" w:hAnsi="仿宋" w:eastAsia="仿宋"/>
          <w:sz w:val="32"/>
          <w:szCs w:val="32"/>
          <w:u w:val="single"/>
        </w:rPr>
        <w:t>36.49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上年结转结余资金增加</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1464.91</w:t>
      </w:r>
      <w:r>
        <w:rPr>
          <w:rFonts w:hint="eastAsia" w:ascii="仿宋" w:hAnsi="仿宋" w:eastAsia="仿宋"/>
          <w:sz w:val="32"/>
          <w:szCs w:val="32"/>
        </w:rPr>
        <w:t>万元，占</w:t>
      </w:r>
      <w:r>
        <w:rPr>
          <w:rFonts w:hint="eastAsia" w:ascii="仿宋" w:hAnsi="仿宋" w:eastAsia="仿宋"/>
          <w:sz w:val="32"/>
          <w:szCs w:val="32"/>
          <w:u w:val="single"/>
        </w:rPr>
        <w:t>76.86</w:t>
      </w:r>
      <w:r>
        <w:rPr>
          <w:rFonts w:hint="eastAsia" w:ascii="仿宋" w:hAnsi="仿宋" w:eastAsia="仿宋"/>
          <w:sz w:val="32"/>
          <w:szCs w:val="32"/>
        </w:rPr>
        <w:t>%；上年结转结余</w:t>
      </w:r>
      <w:r>
        <w:rPr>
          <w:rFonts w:hint="eastAsia" w:ascii="仿宋" w:hAnsi="仿宋" w:eastAsia="仿宋"/>
          <w:sz w:val="32"/>
          <w:szCs w:val="32"/>
          <w:u w:val="single"/>
        </w:rPr>
        <w:t>441.11</w:t>
      </w:r>
      <w:r>
        <w:rPr>
          <w:rFonts w:hint="eastAsia" w:ascii="仿宋" w:hAnsi="仿宋" w:eastAsia="仿宋"/>
          <w:sz w:val="32"/>
          <w:szCs w:val="32"/>
        </w:rPr>
        <w:t>万元，占</w:t>
      </w:r>
      <w:r>
        <w:rPr>
          <w:rFonts w:hint="eastAsia" w:ascii="仿宋" w:hAnsi="仿宋" w:eastAsia="仿宋"/>
          <w:sz w:val="32"/>
          <w:szCs w:val="32"/>
          <w:u w:val="single"/>
        </w:rPr>
        <w:t>23.14</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1906.02</w:t>
      </w:r>
      <w:r>
        <w:rPr>
          <w:rFonts w:hint="eastAsia" w:ascii="仿宋" w:hAnsi="仿宋" w:eastAsia="仿宋"/>
          <w:sz w:val="32"/>
          <w:szCs w:val="32"/>
        </w:rPr>
        <w:t>万元，同比增加</w:t>
      </w:r>
      <w:r>
        <w:rPr>
          <w:rFonts w:hint="eastAsia" w:ascii="仿宋" w:hAnsi="仿宋" w:eastAsia="仿宋"/>
          <w:sz w:val="32"/>
          <w:szCs w:val="32"/>
          <w:u w:val="single"/>
        </w:rPr>
        <w:t>36.49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工资福利支出增加</w:t>
      </w:r>
      <w:r>
        <w:rPr>
          <w:rFonts w:hint="eastAsia" w:ascii="仿宋" w:hAnsi="仿宋" w:eastAsia="仿宋"/>
          <w:sz w:val="32"/>
          <w:szCs w:val="32"/>
        </w:rPr>
        <w:t>。其中：基本支出</w:t>
      </w:r>
      <w:r>
        <w:rPr>
          <w:rFonts w:hint="eastAsia" w:ascii="仿宋" w:hAnsi="仿宋" w:eastAsia="仿宋"/>
          <w:sz w:val="32"/>
          <w:szCs w:val="32"/>
          <w:u w:val="single"/>
        </w:rPr>
        <w:t>1510.25</w:t>
      </w:r>
      <w:r>
        <w:rPr>
          <w:rFonts w:hint="eastAsia" w:ascii="仿宋" w:hAnsi="仿宋" w:eastAsia="仿宋"/>
          <w:sz w:val="32"/>
          <w:szCs w:val="32"/>
        </w:rPr>
        <w:t>万元，占</w:t>
      </w:r>
      <w:r>
        <w:rPr>
          <w:rFonts w:hint="eastAsia" w:ascii="仿宋" w:hAnsi="仿宋" w:eastAsia="仿宋"/>
          <w:sz w:val="32"/>
          <w:szCs w:val="32"/>
          <w:u w:val="single"/>
        </w:rPr>
        <w:t>79.24</w:t>
      </w:r>
      <w:r>
        <w:rPr>
          <w:rFonts w:hint="eastAsia" w:ascii="仿宋" w:hAnsi="仿宋" w:eastAsia="仿宋"/>
          <w:sz w:val="32"/>
          <w:szCs w:val="32"/>
        </w:rPr>
        <w:t>%；项目支出</w:t>
      </w:r>
      <w:r>
        <w:rPr>
          <w:rFonts w:hint="eastAsia" w:ascii="仿宋" w:hAnsi="仿宋" w:eastAsia="仿宋"/>
          <w:sz w:val="32"/>
          <w:szCs w:val="32"/>
          <w:u w:val="single"/>
        </w:rPr>
        <w:t>395.76</w:t>
      </w:r>
      <w:r>
        <w:rPr>
          <w:rFonts w:hint="eastAsia" w:ascii="仿宋" w:hAnsi="仿宋" w:eastAsia="仿宋"/>
          <w:sz w:val="32"/>
          <w:szCs w:val="32"/>
        </w:rPr>
        <w:t>万元，占</w:t>
      </w:r>
      <w:r>
        <w:rPr>
          <w:rFonts w:hint="eastAsia" w:ascii="仿宋" w:hAnsi="仿宋" w:eastAsia="仿宋"/>
          <w:sz w:val="32"/>
          <w:szCs w:val="32"/>
          <w:u w:val="single"/>
        </w:rPr>
        <w:t>20.76</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1906.02</w:t>
      </w:r>
      <w:r>
        <w:rPr>
          <w:rFonts w:hint="eastAsia" w:ascii="仿宋" w:hAnsi="仿宋" w:eastAsia="仿宋"/>
          <w:sz w:val="32"/>
          <w:szCs w:val="32"/>
        </w:rPr>
        <w:t>万元，同比增加</w:t>
      </w:r>
      <w:r>
        <w:rPr>
          <w:rFonts w:hint="eastAsia" w:ascii="仿宋" w:hAnsi="仿宋" w:eastAsia="仿宋"/>
          <w:sz w:val="32"/>
          <w:szCs w:val="32"/>
          <w:u w:val="single"/>
        </w:rPr>
        <w:t>36.49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上年结转结余资金增加</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1464.91</w:t>
      </w:r>
      <w:r>
        <w:rPr>
          <w:rFonts w:hint="eastAsia" w:ascii="仿宋" w:hAnsi="仿宋" w:eastAsia="仿宋"/>
          <w:sz w:val="32"/>
          <w:szCs w:val="32"/>
        </w:rPr>
        <w:t>万元，上年结转结余</w:t>
      </w:r>
      <w:r>
        <w:rPr>
          <w:rFonts w:hint="eastAsia" w:ascii="仿宋" w:hAnsi="仿宋" w:eastAsia="仿宋"/>
          <w:sz w:val="32"/>
          <w:szCs w:val="32"/>
          <w:u w:val="single"/>
        </w:rPr>
        <w:t>441.11</w:t>
      </w:r>
      <w:r>
        <w:rPr>
          <w:rFonts w:hint="eastAsia" w:ascii="仿宋" w:hAnsi="仿宋" w:eastAsia="仿宋"/>
          <w:sz w:val="32"/>
          <w:szCs w:val="32"/>
        </w:rPr>
        <w:t>万元；支出包括：教育支出</w:t>
      </w:r>
      <w:r>
        <w:rPr>
          <w:rFonts w:hint="eastAsia" w:ascii="仿宋" w:hAnsi="仿宋" w:eastAsia="仿宋"/>
          <w:sz w:val="32"/>
          <w:szCs w:val="32"/>
          <w:u w:val="single"/>
        </w:rPr>
        <w:t>1610.23</w:t>
      </w:r>
      <w:r>
        <w:rPr>
          <w:rFonts w:hint="eastAsia" w:ascii="仿宋" w:hAnsi="仿宋" w:eastAsia="仿宋"/>
          <w:sz w:val="32"/>
          <w:szCs w:val="32"/>
        </w:rPr>
        <w:t>万元、社会保障和就业支出</w:t>
      </w:r>
      <w:r>
        <w:rPr>
          <w:rFonts w:hint="eastAsia" w:ascii="仿宋" w:hAnsi="仿宋" w:eastAsia="仿宋"/>
          <w:sz w:val="32"/>
          <w:szCs w:val="32"/>
          <w:u w:val="single"/>
        </w:rPr>
        <w:t>174.35</w:t>
      </w:r>
      <w:r>
        <w:rPr>
          <w:rFonts w:hint="eastAsia" w:ascii="仿宋" w:hAnsi="仿宋" w:eastAsia="仿宋"/>
          <w:sz w:val="32"/>
          <w:szCs w:val="32"/>
        </w:rPr>
        <w:t>万元、卫生健康支出</w:t>
      </w:r>
      <w:r>
        <w:rPr>
          <w:rFonts w:hint="eastAsia" w:ascii="仿宋" w:hAnsi="仿宋" w:eastAsia="仿宋"/>
          <w:sz w:val="32"/>
          <w:szCs w:val="32"/>
          <w:u w:val="single"/>
        </w:rPr>
        <w:t>80.63</w:t>
      </w:r>
      <w:r>
        <w:rPr>
          <w:rFonts w:hint="eastAsia" w:ascii="仿宋" w:hAnsi="仿宋" w:eastAsia="仿宋"/>
          <w:sz w:val="32"/>
          <w:szCs w:val="32"/>
        </w:rPr>
        <w:t>万元、住房保障支出</w:t>
      </w:r>
      <w:r>
        <w:rPr>
          <w:rFonts w:hint="eastAsia" w:ascii="仿宋" w:hAnsi="仿宋" w:eastAsia="仿宋"/>
          <w:sz w:val="32"/>
          <w:szCs w:val="32"/>
          <w:u w:val="single"/>
        </w:rPr>
        <w:t>40.81</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1906.02</w:t>
      </w:r>
      <w:r>
        <w:rPr>
          <w:rFonts w:hint="eastAsia" w:ascii="仿宋" w:hAnsi="仿宋" w:eastAsia="仿宋"/>
          <w:sz w:val="32"/>
          <w:szCs w:val="32"/>
        </w:rPr>
        <w:t>万元,比2023 年执行数增加</w:t>
      </w:r>
      <w:r>
        <w:rPr>
          <w:rFonts w:hint="eastAsia" w:ascii="仿宋" w:hAnsi="仿宋" w:eastAsia="仿宋"/>
          <w:sz w:val="32"/>
          <w:szCs w:val="32"/>
          <w:u w:val="single"/>
        </w:rPr>
        <w:t>36.49</w:t>
      </w:r>
      <w:r>
        <w:rPr>
          <w:rFonts w:hint="eastAsia" w:ascii="仿宋" w:hAnsi="仿宋" w:eastAsia="仿宋"/>
          <w:sz w:val="32"/>
          <w:szCs w:val="32"/>
        </w:rPr>
        <w:t>万元，主要原因：</w:t>
      </w:r>
      <w:r>
        <w:rPr>
          <w:rFonts w:hint="eastAsia" w:ascii="仿宋" w:hAnsi="仿宋" w:eastAsia="仿宋"/>
          <w:sz w:val="32"/>
          <w:szCs w:val="32"/>
          <w:u w:val="single"/>
        </w:rPr>
        <w:t>一般公共服务支出减少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1906.02</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教育支出</w:t>
      </w:r>
      <w:r>
        <w:rPr>
          <w:rFonts w:hint="eastAsia" w:ascii="仿宋" w:hAnsi="仿宋" w:eastAsia="仿宋"/>
          <w:sz w:val="32"/>
          <w:szCs w:val="32"/>
          <w:u w:val="single"/>
        </w:rPr>
        <w:t>1610.23</w:t>
      </w:r>
      <w:r>
        <w:rPr>
          <w:rFonts w:hint="eastAsia" w:ascii="仿宋" w:hAnsi="仿宋" w:eastAsia="仿宋"/>
          <w:sz w:val="32"/>
          <w:szCs w:val="32"/>
        </w:rPr>
        <w:t>万元，占</w:t>
      </w:r>
      <w:r>
        <w:rPr>
          <w:rFonts w:hint="eastAsia" w:ascii="仿宋" w:hAnsi="仿宋" w:eastAsia="仿宋"/>
          <w:sz w:val="32"/>
          <w:szCs w:val="32"/>
          <w:u w:val="single"/>
        </w:rPr>
        <w:t>84.48</w:t>
      </w:r>
      <w:r>
        <w:rPr>
          <w:rFonts w:hint="eastAsia" w:ascii="仿宋" w:hAnsi="仿宋" w:eastAsia="仿宋"/>
          <w:sz w:val="32"/>
          <w:szCs w:val="32"/>
        </w:rPr>
        <w:t>%；社会保障和就业支出</w:t>
      </w:r>
      <w:r>
        <w:rPr>
          <w:rFonts w:hint="eastAsia" w:ascii="仿宋" w:hAnsi="仿宋" w:eastAsia="仿宋"/>
          <w:sz w:val="32"/>
          <w:szCs w:val="32"/>
          <w:u w:val="single"/>
        </w:rPr>
        <w:t>174.35</w:t>
      </w:r>
      <w:r>
        <w:rPr>
          <w:rFonts w:hint="eastAsia" w:ascii="仿宋" w:hAnsi="仿宋" w:eastAsia="仿宋"/>
          <w:sz w:val="32"/>
          <w:szCs w:val="32"/>
        </w:rPr>
        <w:t>万元，占</w:t>
      </w:r>
      <w:r>
        <w:rPr>
          <w:rFonts w:hint="eastAsia" w:ascii="仿宋" w:hAnsi="仿宋" w:eastAsia="仿宋"/>
          <w:sz w:val="32"/>
          <w:szCs w:val="32"/>
          <w:u w:val="single"/>
        </w:rPr>
        <w:t>9.15</w:t>
      </w:r>
      <w:r>
        <w:rPr>
          <w:rFonts w:hint="eastAsia" w:ascii="仿宋" w:hAnsi="仿宋" w:eastAsia="仿宋"/>
          <w:sz w:val="32"/>
          <w:szCs w:val="32"/>
        </w:rPr>
        <w:t>%；卫生健康支出</w:t>
      </w:r>
      <w:r>
        <w:rPr>
          <w:rFonts w:hint="eastAsia" w:ascii="仿宋" w:hAnsi="仿宋" w:eastAsia="仿宋"/>
          <w:sz w:val="32"/>
          <w:szCs w:val="32"/>
          <w:u w:val="single"/>
        </w:rPr>
        <w:t>80.63</w:t>
      </w:r>
      <w:r>
        <w:rPr>
          <w:rFonts w:hint="eastAsia" w:ascii="仿宋" w:hAnsi="仿宋" w:eastAsia="仿宋"/>
          <w:sz w:val="32"/>
          <w:szCs w:val="32"/>
        </w:rPr>
        <w:t>万元，占</w:t>
      </w:r>
      <w:r>
        <w:rPr>
          <w:rFonts w:hint="eastAsia" w:ascii="仿宋" w:hAnsi="仿宋" w:eastAsia="仿宋"/>
          <w:sz w:val="32"/>
          <w:szCs w:val="32"/>
          <w:u w:val="single"/>
        </w:rPr>
        <w:t>4.23</w:t>
      </w:r>
      <w:r>
        <w:rPr>
          <w:rFonts w:hint="eastAsia" w:ascii="仿宋" w:hAnsi="仿宋" w:eastAsia="仿宋"/>
          <w:sz w:val="32"/>
          <w:szCs w:val="32"/>
        </w:rPr>
        <w:t>%住房保障支出</w:t>
      </w:r>
      <w:r>
        <w:rPr>
          <w:rFonts w:hint="eastAsia" w:ascii="仿宋" w:hAnsi="仿宋" w:eastAsia="仿宋"/>
          <w:sz w:val="32"/>
          <w:szCs w:val="32"/>
          <w:u w:val="single"/>
        </w:rPr>
        <w:t>40.81</w:t>
      </w:r>
      <w:r>
        <w:rPr>
          <w:rFonts w:hint="eastAsia" w:ascii="仿宋" w:hAnsi="仿宋" w:eastAsia="仿宋"/>
          <w:sz w:val="32"/>
          <w:szCs w:val="32"/>
        </w:rPr>
        <w:t>万元，占</w:t>
      </w:r>
      <w:r>
        <w:rPr>
          <w:rFonts w:hint="eastAsia" w:ascii="仿宋" w:hAnsi="仿宋" w:eastAsia="仿宋"/>
          <w:sz w:val="32"/>
          <w:szCs w:val="32"/>
          <w:u w:val="single"/>
        </w:rPr>
        <w:t>2.14</w:t>
      </w:r>
      <w:r>
        <w:rPr>
          <w:rFonts w:ascii="仿宋" w:hAnsi="仿宋" w:eastAsia="仿宋"/>
          <w:sz w:val="32"/>
          <w:szCs w:val="32"/>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1.教育支出（类）普通教育（款）学前教育（项）预算数为</w:t>
      </w:r>
      <w:r>
        <w:rPr>
          <w:rFonts w:hint="eastAsia" w:ascii="仿宋" w:hAnsi="仿宋" w:eastAsia="仿宋"/>
          <w:sz w:val="32"/>
          <w:szCs w:val="32"/>
          <w:u w:val="single"/>
        </w:rPr>
        <w:t>1560.23</w:t>
      </w:r>
      <w:r>
        <w:rPr>
          <w:rFonts w:hint="eastAsia" w:ascii="仿宋" w:hAnsi="仿宋" w:eastAsia="仿宋"/>
          <w:sz w:val="32"/>
          <w:szCs w:val="32"/>
        </w:rPr>
        <w:t>万元，比2023年执行数减少</w:t>
      </w:r>
      <w:r>
        <w:rPr>
          <w:rFonts w:hint="eastAsia" w:ascii="仿宋" w:hAnsi="仿宋" w:eastAsia="仿宋"/>
          <w:sz w:val="32"/>
          <w:szCs w:val="32"/>
          <w:u w:val="single"/>
        </w:rPr>
        <w:t>30.29</w:t>
      </w:r>
      <w:r>
        <w:rPr>
          <w:rFonts w:hint="eastAsia" w:ascii="仿宋" w:hAnsi="仿宋" w:eastAsia="仿宋"/>
          <w:sz w:val="32"/>
          <w:szCs w:val="32"/>
        </w:rPr>
        <w:t>万元，下降</w:t>
      </w:r>
      <w:r>
        <w:rPr>
          <w:rFonts w:hint="eastAsia" w:ascii="仿宋" w:hAnsi="仿宋" w:eastAsia="仿宋"/>
          <w:sz w:val="32"/>
          <w:szCs w:val="32"/>
          <w:u w:val="single"/>
        </w:rPr>
        <w:t>1.9</w:t>
      </w:r>
      <w:r>
        <w:rPr>
          <w:rFonts w:hint="eastAsia" w:ascii="仿宋" w:hAnsi="仿宋" w:eastAsia="仿宋"/>
          <w:sz w:val="32"/>
          <w:szCs w:val="32"/>
        </w:rPr>
        <w:t>%。主要是相关项目支出减少。</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w:t>
      </w:r>
      <w:r>
        <w:rPr>
          <w:rFonts w:hint="eastAsia"/>
        </w:rPr>
        <w:t xml:space="preserve"> </w:t>
      </w:r>
      <w:r>
        <w:rPr>
          <w:rFonts w:hint="eastAsia" w:ascii="仿宋" w:hAnsi="仿宋" w:eastAsia="仿宋"/>
          <w:sz w:val="32"/>
          <w:szCs w:val="32"/>
        </w:rPr>
        <w:t>教育支出（类）其他教育支出（款）其他教育支出（项）预算数为</w:t>
      </w:r>
      <w:r>
        <w:rPr>
          <w:rFonts w:hint="eastAsia" w:ascii="仿宋" w:hAnsi="仿宋" w:eastAsia="仿宋"/>
          <w:sz w:val="32"/>
          <w:szCs w:val="32"/>
          <w:u w:val="single"/>
        </w:rPr>
        <w:t>50</w:t>
      </w:r>
      <w:r>
        <w:rPr>
          <w:rFonts w:hint="eastAsia" w:ascii="仿宋" w:hAnsi="仿宋" w:eastAsia="仿宋"/>
          <w:sz w:val="32"/>
          <w:szCs w:val="32"/>
        </w:rPr>
        <w:t>万元，比2023年执行数增加</w:t>
      </w:r>
      <w:r>
        <w:rPr>
          <w:rFonts w:hint="eastAsia" w:ascii="仿宋" w:hAnsi="仿宋" w:eastAsia="仿宋"/>
          <w:sz w:val="32"/>
          <w:szCs w:val="32"/>
          <w:u w:val="single"/>
        </w:rPr>
        <w:t>50</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168.15</w:t>
      </w:r>
      <w:r>
        <w:rPr>
          <w:rFonts w:hint="eastAsia" w:ascii="仿宋" w:hAnsi="仿宋" w:eastAsia="仿宋"/>
          <w:sz w:val="32"/>
          <w:szCs w:val="32"/>
        </w:rPr>
        <w:t>万元，比2023年执行数增加</w:t>
      </w:r>
      <w:r>
        <w:rPr>
          <w:rFonts w:hint="eastAsia" w:ascii="仿宋" w:hAnsi="仿宋" w:eastAsia="仿宋"/>
          <w:sz w:val="32"/>
          <w:szCs w:val="32"/>
          <w:u w:val="single"/>
        </w:rPr>
        <w:t>15.86</w:t>
      </w:r>
      <w:r>
        <w:rPr>
          <w:rFonts w:hint="eastAsia" w:ascii="仿宋" w:hAnsi="仿宋" w:eastAsia="仿宋"/>
          <w:sz w:val="32"/>
          <w:szCs w:val="32"/>
        </w:rPr>
        <w:t>万元，上升</w:t>
      </w:r>
      <w:r>
        <w:rPr>
          <w:rFonts w:hint="eastAsia" w:ascii="仿宋" w:hAnsi="仿宋" w:eastAsia="仿宋"/>
          <w:sz w:val="32"/>
          <w:szCs w:val="32"/>
          <w:u w:val="single"/>
        </w:rPr>
        <w:t>10.41</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5.1</w:t>
      </w:r>
      <w:r>
        <w:rPr>
          <w:rFonts w:hint="eastAsia" w:ascii="仿宋" w:hAnsi="仿宋" w:eastAsia="仿宋"/>
          <w:sz w:val="32"/>
          <w:szCs w:val="32"/>
        </w:rPr>
        <w:t>万元，比2023年执行数增加</w:t>
      </w:r>
      <w:r>
        <w:rPr>
          <w:rFonts w:hint="eastAsia" w:ascii="仿宋" w:hAnsi="仿宋" w:eastAsia="仿宋"/>
          <w:sz w:val="32"/>
          <w:szCs w:val="32"/>
          <w:u w:val="single"/>
        </w:rPr>
        <w:t>0.29</w:t>
      </w:r>
      <w:r>
        <w:rPr>
          <w:rFonts w:hint="eastAsia" w:ascii="仿宋" w:hAnsi="仿宋" w:eastAsia="仿宋"/>
          <w:sz w:val="32"/>
          <w:szCs w:val="32"/>
        </w:rPr>
        <w:t>万元，上升</w:t>
      </w:r>
      <w:r>
        <w:rPr>
          <w:rFonts w:hint="eastAsia" w:ascii="仿宋" w:hAnsi="仿宋" w:eastAsia="仿宋"/>
          <w:sz w:val="32"/>
          <w:szCs w:val="32"/>
          <w:u w:val="single"/>
        </w:rPr>
        <w:t>6.03</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rPr>
        <w:t>5.社会保障和就业支出（类）财政对其他社会保险基金的补助（款）财政对工伤保险基金的补助（项）预算数为</w:t>
      </w:r>
      <w:r>
        <w:rPr>
          <w:rFonts w:hint="eastAsia" w:ascii="仿宋" w:hAnsi="仿宋" w:eastAsia="仿宋"/>
          <w:sz w:val="32"/>
          <w:szCs w:val="32"/>
          <w:u w:val="single"/>
        </w:rPr>
        <w:t>1.1</w:t>
      </w:r>
      <w:r>
        <w:rPr>
          <w:rFonts w:hint="eastAsia" w:ascii="仿宋" w:hAnsi="仿宋" w:eastAsia="仿宋"/>
          <w:sz w:val="32"/>
          <w:szCs w:val="32"/>
        </w:rPr>
        <w:t>万元，比2023年执行数减少</w:t>
      </w:r>
      <w:r>
        <w:rPr>
          <w:rFonts w:hint="eastAsia" w:ascii="仿宋" w:hAnsi="仿宋" w:eastAsia="仿宋"/>
          <w:sz w:val="32"/>
          <w:szCs w:val="32"/>
          <w:u w:val="single"/>
        </w:rPr>
        <w:t>6.14</w:t>
      </w:r>
      <w:r>
        <w:rPr>
          <w:rFonts w:hint="eastAsia" w:ascii="仿宋" w:hAnsi="仿宋" w:eastAsia="仿宋"/>
          <w:sz w:val="32"/>
          <w:szCs w:val="32"/>
        </w:rPr>
        <w:t>万元，下降</w:t>
      </w:r>
      <w:r>
        <w:rPr>
          <w:rFonts w:hint="eastAsia" w:ascii="仿宋" w:hAnsi="仿宋" w:eastAsia="仿宋"/>
          <w:sz w:val="32"/>
          <w:szCs w:val="32"/>
          <w:u w:val="single"/>
        </w:rPr>
        <w:t>84.81</w:t>
      </w:r>
      <w:r>
        <w:rPr>
          <w:rFonts w:hint="eastAsia" w:ascii="仿宋" w:hAnsi="仿宋" w:eastAsia="仿宋"/>
          <w:sz w:val="32"/>
          <w:szCs w:val="32"/>
        </w:rPr>
        <w:t>%。主要是教师工伤保险缴存比例下调导致相关支出减少。</w:t>
      </w:r>
    </w:p>
    <w:p>
      <w:pPr>
        <w:ind w:firstLine="640" w:firstLineChars="200"/>
        <w:rPr>
          <w:rFonts w:ascii="仿宋" w:hAnsi="仿宋" w:eastAsia="仿宋"/>
          <w:sz w:val="32"/>
          <w:szCs w:val="32"/>
        </w:rPr>
      </w:pPr>
      <w:r>
        <w:rPr>
          <w:rFonts w:hint="eastAsia" w:ascii="仿宋" w:hAnsi="仿宋" w:eastAsia="仿宋"/>
          <w:sz w:val="32"/>
          <w:szCs w:val="32"/>
        </w:rPr>
        <w:t>6.卫生健康支出（类）公共卫生（款）重大公共卫生服务（项）预算数为</w:t>
      </w:r>
      <w:r>
        <w:rPr>
          <w:rFonts w:hint="eastAsia" w:ascii="仿宋" w:hAnsi="仿宋" w:eastAsia="仿宋"/>
          <w:sz w:val="32"/>
          <w:szCs w:val="32"/>
          <w:u w:val="single"/>
        </w:rPr>
        <w:t>3</w:t>
      </w:r>
      <w:r>
        <w:rPr>
          <w:rFonts w:hint="eastAsia" w:ascii="仿宋" w:hAnsi="仿宋" w:eastAsia="仿宋"/>
          <w:sz w:val="32"/>
          <w:szCs w:val="32"/>
        </w:rPr>
        <w:t>万元，比2023年执行数增加</w:t>
      </w:r>
      <w:r>
        <w:rPr>
          <w:rFonts w:hint="eastAsia" w:ascii="仿宋" w:hAnsi="仿宋" w:eastAsia="仿宋"/>
          <w:sz w:val="32"/>
          <w:szCs w:val="32"/>
          <w:u w:val="single"/>
        </w:rPr>
        <w:t>3</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%。主要是新增包虫病防治经费。</w:t>
      </w:r>
    </w:p>
    <w:p>
      <w:pPr>
        <w:ind w:firstLine="640" w:firstLineChars="200"/>
        <w:rPr>
          <w:rFonts w:ascii="仿宋" w:hAnsi="仿宋" w:eastAsia="仿宋"/>
          <w:sz w:val="32"/>
          <w:szCs w:val="32"/>
        </w:rPr>
      </w:pPr>
      <w:r>
        <w:rPr>
          <w:rFonts w:hint="eastAsia" w:ascii="仿宋" w:hAnsi="仿宋" w:eastAsia="仿宋"/>
          <w:sz w:val="32"/>
          <w:szCs w:val="32"/>
        </w:rPr>
        <w:t>7.卫生健康支出（类）财政对基本医疗保险基金的补助（款）财政对职工基本医疗保险基金的补助（项）预算数为</w:t>
      </w:r>
      <w:r>
        <w:rPr>
          <w:rFonts w:hint="eastAsia" w:ascii="仿宋" w:hAnsi="仿宋" w:eastAsia="仿宋"/>
          <w:sz w:val="32"/>
          <w:szCs w:val="32"/>
          <w:u w:val="single"/>
        </w:rPr>
        <w:t>77.63</w:t>
      </w:r>
      <w:r>
        <w:rPr>
          <w:rFonts w:hint="eastAsia" w:ascii="仿宋" w:hAnsi="仿宋" w:eastAsia="仿宋"/>
          <w:sz w:val="32"/>
          <w:szCs w:val="32"/>
        </w:rPr>
        <w:t>万元，比2023年执行数增加</w:t>
      </w:r>
      <w:r>
        <w:rPr>
          <w:rFonts w:hint="eastAsia" w:ascii="仿宋" w:hAnsi="仿宋" w:eastAsia="仿宋"/>
          <w:sz w:val="32"/>
          <w:szCs w:val="32"/>
          <w:u w:val="single"/>
        </w:rPr>
        <w:t>2.36</w:t>
      </w:r>
      <w:r>
        <w:rPr>
          <w:rFonts w:hint="eastAsia" w:ascii="仿宋" w:hAnsi="仿宋" w:eastAsia="仿宋"/>
          <w:sz w:val="32"/>
          <w:szCs w:val="32"/>
        </w:rPr>
        <w:t>万元，上升</w:t>
      </w:r>
      <w:r>
        <w:rPr>
          <w:rFonts w:hint="eastAsia" w:ascii="仿宋" w:hAnsi="仿宋" w:eastAsia="仿宋"/>
          <w:sz w:val="32"/>
          <w:szCs w:val="32"/>
          <w:u w:val="single"/>
        </w:rPr>
        <w:t>3.14</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rPr>
        <w:t>8.住房保障支出（类）住房改革支出（款）住房公积金（项）预算数为</w:t>
      </w:r>
      <w:r>
        <w:rPr>
          <w:rFonts w:hint="eastAsia" w:ascii="仿宋" w:hAnsi="仿宋" w:eastAsia="仿宋"/>
          <w:sz w:val="32"/>
          <w:szCs w:val="32"/>
          <w:u w:val="single"/>
        </w:rPr>
        <w:t>40.81</w:t>
      </w:r>
      <w:r>
        <w:rPr>
          <w:rFonts w:hint="eastAsia" w:ascii="仿宋" w:hAnsi="仿宋" w:eastAsia="仿宋"/>
          <w:sz w:val="32"/>
          <w:szCs w:val="32"/>
        </w:rPr>
        <w:t>万元，比2023年执行数增加</w:t>
      </w:r>
      <w:r>
        <w:rPr>
          <w:rFonts w:hint="eastAsia" w:ascii="仿宋" w:hAnsi="仿宋" w:eastAsia="仿宋"/>
          <w:sz w:val="32"/>
          <w:szCs w:val="32"/>
          <w:u w:val="single"/>
        </w:rPr>
        <w:t>1.41</w:t>
      </w:r>
      <w:r>
        <w:rPr>
          <w:rFonts w:hint="eastAsia" w:ascii="仿宋" w:hAnsi="仿宋" w:eastAsia="仿宋"/>
          <w:sz w:val="32"/>
          <w:szCs w:val="32"/>
        </w:rPr>
        <w:t>万元，上升</w:t>
      </w:r>
      <w:r>
        <w:rPr>
          <w:rFonts w:hint="eastAsia" w:ascii="仿宋" w:hAnsi="仿宋" w:eastAsia="仿宋"/>
          <w:sz w:val="32"/>
          <w:szCs w:val="32"/>
          <w:u w:val="single"/>
        </w:rPr>
        <w:t>3.58</w:t>
      </w:r>
      <w:r>
        <w:rPr>
          <w:rFonts w:hint="eastAsia" w:ascii="仿宋" w:hAnsi="仿宋" w:eastAsia="仿宋"/>
          <w:sz w:val="32"/>
          <w:szCs w:val="32"/>
        </w:rPr>
        <w:t>%。主要是公积金缴费基数上调导致相应支出增加。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1510.26</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1411.99</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rPr>
        <w:t>1006</w:t>
      </w:r>
      <w:r>
        <w:rPr>
          <w:rFonts w:hint="eastAsia" w:ascii="仿宋" w:hAnsi="仿宋" w:eastAsia="仿宋"/>
          <w:sz w:val="32"/>
          <w:szCs w:val="32"/>
        </w:rPr>
        <w:t>万元（基本工资</w:t>
      </w:r>
      <w:r>
        <w:rPr>
          <w:rFonts w:hint="eastAsia" w:ascii="仿宋" w:hAnsi="仿宋" w:eastAsia="仿宋"/>
          <w:sz w:val="32"/>
          <w:szCs w:val="32"/>
          <w:u w:val="single"/>
        </w:rPr>
        <w:t>930</w:t>
      </w:r>
      <w:r>
        <w:rPr>
          <w:rFonts w:hint="eastAsia" w:ascii="仿宋" w:hAnsi="仿宋" w:eastAsia="仿宋"/>
          <w:sz w:val="32"/>
          <w:szCs w:val="32"/>
        </w:rPr>
        <w:t>万元、奖金</w:t>
      </w:r>
      <w:r>
        <w:rPr>
          <w:rFonts w:hint="eastAsia" w:ascii="仿宋" w:hAnsi="仿宋" w:eastAsia="仿宋"/>
          <w:sz w:val="32"/>
          <w:szCs w:val="32"/>
          <w:u w:val="single"/>
        </w:rPr>
        <w:t>76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168.15</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77.63</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6.2</w:t>
      </w:r>
      <w:r>
        <w:rPr>
          <w:rFonts w:hint="eastAsia" w:ascii="仿宋" w:hAnsi="仿宋" w:eastAsia="仿宋"/>
          <w:sz w:val="32"/>
          <w:szCs w:val="32"/>
        </w:rPr>
        <w:t>万元（失业保险</w:t>
      </w:r>
      <w:r>
        <w:rPr>
          <w:rFonts w:hint="eastAsia" w:ascii="仿宋" w:hAnsi="仿宋" w:eastAsia="仿宋"/>
          <w:sz w:val="32"/>
          <w:szCs w:val="32"/>
          <w:u w:val="single"/>
        </w:rPr>
        <w:t>5.1</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1.1</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113.2</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40.81</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38.12</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u w:val="single"/>
        </w:rPr>
        <w:t>38.12</w:t>
      </w:r>
      <w:r>
        <w:rPr>
          <w:rFonts w:hint="eastAsia" w:ascii="仿宋" w:hAnsi="仿宋" w:eastAsia="仿宋"/>
          <w:sz w:val="32"/>
          <w:szCs w:val="32"/>
        </w:rPr>
        <w:t>万元（印刷费</w:t>
      </w:r>
      <w:r>
        <w:rPr>
          <w:rFonts w:hint="eastAsia" w:ascii="仿宋" w:hAnsi="仿宋" w:eastAsia="仿宋"/>
          <w:sz w:val="32"/>
          <w:szCs w:val="32"/>
          <w:u w:val="single"/>
        </w:rPr>
        <w:t>16.23</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2.42</w:t>
      </w:r>
      <w:r>
        <w:rPr>
          <w:rFonts w:hint="eastAsia" w:ascii="仿宋" w:hAnsi="仿宋" w:eastAsia="仿宋"/>
          <w:sz w:val="32"/>
          <w:szCs w:val="32"/>
        </w:rPr>
        <w:t>万元、工会经费</w:t>
      </w:r>
      <w:r>
        <w:rPr>
          <w:rFonts w:hint="eastAsia" w:ascii="仿宋" w:hAnsi="仿宋" w:eastAsia="仿宋"/>
          <w:sz w:val="32"/>
          <w:szCs w:val="32"/>
          <w:u w:val="single"/>
        </w:rPr>
        <w:t>19.16</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0.32</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对家庭和个人的补助</w:t>
      </w:r>
      <w:r>
        <w:rPr>
          <w:rFonts w:hint="eastAsia" w:ascii="仿宋" w:hAnsi="仿宋" w:eastAsia="仿宋"/>
          <w:sz w:val="32"/>
          <w:szCs w:val="32"/>
          <w:u w:val="single"/>
        </w:rPr>
        <w:t>60.14</w:t>
      </w:r>
      <w:r>
        <w:rPr>
          <w:rFonts w:hint="eastAsia" w:ascii="仿宋" w:hAnsi="仿宋" w:eastAsia="仿宋"/>
          <w:sz w:val="32"/>
          <w:szCs w:val="32"/>
        </w:rPr>
        <w:t>万元，主要包括其他对家庭和个人的补助</w:t>
      </w:r>
      <w:r>
        <w:rPr>
          <w:rFonts w:hint="eastAsia" w:ascii="仿宋" w:hAnsi="仿宋" w:eastAsia="仿宋"/>
          <w:sz w:val="32"/>
          <w:szCs w:val="32"/>
          <w:u w:val="single"/>
        </w:rPr>
        <w:t>60.14</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rPr>
      </w:pPr>
      <w:r>
        <w:rPr>
          <w:rFonts w:hint="eastAsia" w:ascii="仿宋" w:hAnsi="仿宋" w:eastAsia="仿宋"/>
          <w:sz w:val="32"/>
          <w:szCs w:val="32"/>
        </w:rPr>
        <w:t>我单位2024年度没有“三公”经费安排的支出，2023年也没有“三公”经费安排的支出。</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none"/>
        </w:rPr>
        <w:t>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万元。“三公”经费预算比2023年减少（增加）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万元，压缩（增长）</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量，国内公务接待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bookmarkStart w:id="0" w:name="_GoBack"/>
      <w:bookmarkEnd w:id="0"/>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我单位2024年度没有政府性基金安排的支出，2023年也没有政府性基金安排的支出。</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年单位的事业单位运行经费财政拨款预算</w:t>
      </w:r>
      <w:r>
        <w:rPr>
          <w:rFonts w:hint="eastAsia" w:ascii="仿宋" w:hAnsi="仿宋" w:eastAsia="仿宋"/>
          <w:sz w:val="32"/>
          <w:szCs w:val="32"/>
          <w:u w:val="single"/>
        </w:rPr>
        <w:t>38.12</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178.13</w:t>
      </w:r>
      <w:r>
        <w:rPr>
          <w:rFonts w:hint="eastAsia" w:ascii="仿宋" w:hAnsi="仿宋" w:eastAsia="仿宋"/>
          <w:sz w:val="32"/>
          <w:szCs w:val="32"/>
        </w:rPr>
        <w:t>万元，降低</w:t>
      </w:r>
      <w:r>
        <w:rPr>
          <w:rFonts w:hint="eastAsia" w:ascii="仿宋" w:hAnsi="仿宋" w:eastAsia="仿宋"/>
          <w:sz w:val="32"/>
          <w:szCs w:val="32"/>
          <w:u w:val="single"/>
        </w:rPr>
        <w:t>82.37</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其他商品服务支出减少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我单位2024年度没有政府采购经费安排的支出，2023年也没有政府采购经费安排的支出。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月底，本单位及所属各预算单位共有车辆</w:t>
      </w:r>
      <w:r>
        <w:rPr>
          <w:rFonts w:hint="eastAsia" w:ascii="仿宋" w:hAnsi="仿宋" w:eastAsia="仿宋"/>
          <w:sz w:val="32"/>
          <w:szCs w:val="32"/>
          <w:u w:val="single"/>
        </w:rPr>
        <w:t xml:space="preserve"> 0 </w:t>
      </w:r>
      <w:r>
        <w:rPr>
          <w:rFonts w:hint="eastAsia" w:ascii="仿宋" w:hAnsi="仿宋" w:eastAsia="仿宋"/>
          <w:sz w:val="32"/>
          <w:szCs w:val="32"/>
        </w:rPr>
        <w:t>辆，没有单位价值超过50万元的通用设备，没有单位价值超过100万元的专用设备。</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 xml:space="preserve"> 4 </w:t>
      </w:r>
      <w:r>
        <w:rPr>
          <w:rFonts w:hint="eastAsia" w:ascii="仿宋" w:hAnsi="仿宋" w:eastAsia="仿宋"/>
          <w:sz w:val="32"/>
          <w:szCs w:val="32"/>
        </w:rPr>
        <w:t>个，资金</w:t>
      </w:r>
      <w:r>
        <w:rPr>
          <w:rFonts w:hint="eastAsia" w:ascii="仿宋" w:hAnsi="仿宋" w:eastAsia="仿宋"/>
          <w:sz w:val="32"/>
          <w:szCs w:val="32"/>
          <w:u w:val="single"/>
        </w:rPr>
        <w:t>33.44</w:t>
      </w:r>
      <w:r>
        <w:rPr>
          <w:rFonts w:hint="eastAsia" w:ascii="仿宋" w:hAnsi="仿宋" w:eastAsia="仿宋"/>
          <w:sz w:val="32"/>
          <w:szCs w:val="32"/>
        </w:rPr>
        <w:t>万元，其中：中央转移支付资金</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万元，地方资金</w:t>
      </w:r>
      <w:r>
        <w:rPr>
          <w:rFonts w:hint="eastAsia" w:ascii="仿宋" w:hAnsi="仿宋" w:eastAsia="仿宋"/>
          <w:sz w:val="32"/>
          <w:szCs w:val="32"/>
          <w:u w:val="single"/>
        </w:rPr>
        <w:t>33.44</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我单位2024年度没有扶贫资金安排的支出，2023年也没有政扶贫资金安排的支出。</w:t>
      </w:r>
    </w:p>
    <w:p>
      <w:pPr>
        <w:ind w:firstLine="640" w:firstLineChars="200"/>
        <w:rPr>
          <w:rFonts w:ascii="楷体" w:hAnsi="楷体" w:eastAsia="楷体"/>
          <w:sz w:val="32"/>
          <w:szCs w:val="32"/>
        </w:rPr>
      </w:pPr>
      <w:r>
        <w:rPr>
          <w:rFonts w:hint="eastAsia" w:ascii="楷体" w:hAnsi="楷体" w:eastAsia="楷体"/>
          <w:sz w:val="32"/>
          <w:szCs w:val="32"/>
        </w:rPr>
        <w:t>（六）政府债务情况。</w:t>
      </w:r>
    </w:p>
    <w:p>
      <w:pPr>
        <w:ind w:firstLine="640" w:firstLineChars="200"/>
        <w:rPr>
          <w:rFonts w:ascii="仿宋" w:hAnsi="仿宋" w:eastAsia="仿宋"/>
          <w:sz w:val="32"/>
          <w:szCs w:val="32"/>
        </w:rPr>
      </w:pPr>
      <w:r>
        <w:rPr>
          <w:rFonts w:hint="eastAsia" w:ascii="仿宋" w:hAnsi="仿宋" w:eastAsia="仿宋"/>
          <w:sz w:val="32"/>
          <w:szCs w:val="32"/>
        </w:rPr>
        <w:t>我单位截止2024年1月31日，没有待偿还的债务、待回购股权投资和应付工程物资款，特此说明。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Fonts w:ascii="宋体" w:hAnsi="宋体" w:eastAsia="宋体"/>
        <w:sz w:val="24"/>
        <w:szCs w:val="24"/>
      </w:rPr>
    </w:pPr>
    <w:r>
      <w:rPr>
        <w:rStyle w:val="9"/>
        <w:rFonts w:ascii="宋体" w:hAnsi="宋体" w:eastAsia="宋体"/>
        <w:sz w:val="24"/>
        <w:szCs w:val="24"/>
      </w:rPr>
      <w:fldChar w:fldCharType="begin"/>
    </w:r>
    <w:r>
      <w:rPr>
        <w:rStyle w:val="9"/>
        <w:rFonts w:ascii="宋体" w:hAnsi="宋体" w:eastAsia="宋体"/>
        <w:sz w:val="24"/>
        <w:szCs w:val="24"/>
      </w:rPr>
      <w:instrText xml:space="preserve">PAGE  </w:instrText>
    </w:r>
    <w:r>
      <w:rPr>
        <w:rStyle w:val="9"/>
        <w:rFonts w:ascii="宋体" w:hAnsi="宋体" w:eastAsia="宋体"/>
        <w:sz w:val="24"/>
        <w:szCs w:val="24"/>
      </w:rPr>
      <w:fldChar w:fldCharType="separate"/>
    </w:r>
    <w:r>
      <w:rPr>
        <w:rStyle w:val="9"/>
        <w:rFonts w:ascii="宋体" w:hAnsi="宋体" w:eastAsia="宋体"/>
        <w:sz w:val="24"/>
        <w:szCs w:val="24"/>
      </w:rPr>
      <w:t>- 3 -</w:t>
    </w:r>
    <w:r>
      <w:rPr>
        <w:rStyle w:val="9"/>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2D0D"/>
    <w:rsid w:val="00245677"/>
    <w:rsid w:val="00255CD4"/>
    <w:rsid w:val="00266E39"/>
    <w:rsid w:val="002671DE"/>
    <w:rsid w:val="00275772"/>
    <w:rsid w:val="00283ED4"/>
    <w:rsid w:val="00285201"/>
    <w:rsid w:val="00285B92"/>
    <w:rsid w:val="002879D0"/>
    <w:rsid w:val="002A49F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153CF"/>
    <w:rsid w:val="00320CAC"/>
    <w:rsid w:val="00322979"/>
    <w:rsid w:val="00323C72"/>
    <w:rsid w:val="003241B7"/>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62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86E"/>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16AA"/>
    <w:rsid w:val="005C7D65"/>
    <w:rsid w:val="005D1BD7"/>
    <w:rsid w:val="005D56A2"/>
    <w:rsid w:val="005D584E"/>
    <w:rsid w:val="005E5236"/>
    <w:rsid w:val="005F2417"/>
    <w:rsid w:val="005F2DA3"/>
    <w:rsid w:val="005F3A21"/>
    <w:rsid w:val="00600777"/>
    <w:rsid w:val="00607942"/>
    <w:rsid w:val="00611AA9"/>
    <w:rsid w:val="00611B7F"/>
    <w:rsid w:val="006138C7"/>
    <w:rsid w:val="006171E3"/>
    <w:rsid w:val="00630455"/>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37DA"/>
    <w:rsid w:val="007455B0"/>
    <w:rsid w:val="007529D0"/>
    <w:rsid w:val="00753C16"/>
    <w:rsid w:val="00757D7E"/>
    <w:rsid w:val="00771198"/>
    <w:rsid w:val="007734E9"/>
    <w:rsid w:val="00774133"/>
    <w:rsid w:val="00775613"/>
    <w:rsid w:val="007821EB"/>
    <w:rsid w:val="00794480"/>
    <w:rsid w:val="007A00E8"/>
    <w:rsid w:val="007A0FA7"/>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2B2A"/>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617D"/>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AF2DF0"/>
    <w:rsid w:val="00B007C8"/>
    <w:rsid w:val="00B04F3B"/>
    <w:rsid w:val="00B059EC"/>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851C3"/>
    <w:rsid w:val="00B90F50"/>
    <w:rsid w:val="00B92A8B"/>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0619"/>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E00"/>
    <w:rsid w:val="00FE7FA4"/>
    <w:rsid w:val="00FF19E9"/>
    <w:rsid w:val="00FF5207"/>
    <w:rsid w:val="00FF5AF7"/>
    <w:rsid w:val="0841440D"/>
    <w:rsid w:val="092F66FE"/>
    <w:rsid w:val="13CD4CF9"/>
    <w:rsid w:val="1BA5648C"/>
    <w:rsid w:val="20914F1E"/>
    <w:rsid w:val="254A5449"/>
    <w:rsid w:val="31D56F72"/>
    <w:rsid w:val="38BD1CCA"/>
    <w:rsid w:val="39975883"/>
    <w:rsid w:val="3ED558EE"/>
    <w:rsid w:val="40DF660D"/>
    <w:rsid w:val="41515995"/>
    <w:rsid w:val="49FC5645"/>
    <w:rsid w:val="4A17189C"/>
    <w:rsid w:val="609A09D0"/>
    <w:rsid w:val="66D40F4C"/>
    <w:rsid w:val="6D6F06DF"/>
    <w:rsid w:val="6DAD03D9"/>
    <w:rsid w:val="7A3076DE"/>
    <w:rsid w:val="7F5239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99"/>
    <w:pPr>
      <w:widowControl/>
      <w:spacing w:after="120" w:line="276" w:lineRule="auto"/>
      <w:jc w:val="left"/>
    </w:pPr>
    <w:rPr>
      <w:rFonts w:ascii="微软雅黑" w:hAnsi="微软雅黑" w:eastAsia="微软雅黑" w:cs="Times New Roman"/>
      <w:kern w:val="0"/>
      <w:sz w:val="22"/>
      <w:lang w:eastAsia="en-US"/>
    </w:rPr>
  </w:style>
  <w:style w:type="paragraph" w:styleId="3">
    <w:name w:val="Balloon Text"/>
    <w:basedOn w:val="1"/>
    <w:link w:val="12"/>
    <w:semiHidden/>
    <w:unhideWhenUsed/>
    <w:qFormat/>
    <w:uiPriority w:val="99"/>
    <w:rPr>
      <w:sz w:val="18"/>
      <w:szCs w:val="18"/>
    </w:rPr>
  </w:style>
  <w:style w:type="paragraph" w:styleId="4">
    <w:name w:val="footer"/>
    <w:basedOn w:val="1"/>
    <w:link w:val="11"/>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10"/>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Normal (Web)"/>
    <w:basedOn w:val="1"/>
    <w:qFormat/>
    <w:uiPriority w:val="0"/>
    <w:pPr>
      <w:spacing w:beforeAutospacing="1" w:afterAutospacing="1"/>
      <w:jc w:val="left"/>
    </w:pPr>
    <w:rPr>
      <w:kern w:val="0"/>
      <w:sz w:val="24"/>
    </w:rPr>
  </w:style>
  <w:style w:type="character" w:styleId="9">
    <w:name w:val="page number"/>
    <w:basedOn w:val="8"/>
    <w:qFormat/>
    <w:uiPriority w:val="0"/>
  </w:style>
  <w:style w:type="character" w:customStyle="1" w:styleId="10">
    <w:name w:val="页眉 字符"/>
    <w:basedOn w:val="8"/>
    <w:link w:val="5"/>
    <w:qFormat/>
    <w:uiPriority w:val="99"/>
    <w:rPr>
      <w:sz w:val="18"/>
      <w:szCs w:val="18"/>
    </w:rPr>
  </w:style>
  <w:style w:type="character" w:customStyle="1" w:styleId="11">
    <w:name w:val="页脚 字符"/>
    <w:basedOn w:val="8"/>
    <w:link w:val="4"/>
    <w:qFormat/>
    <w:uiPriority w:val="99"/>
    <w:rPr>
      <w:sz w:val="18"/>
      <w:szCs w:val="18"/>
    </w:rPr>
  </w:style>
  <w:style w:type="character" w:customStyle="1" w:styleId="12">
    <w:name w:val="批注框文本 字符"/>
    <w:basedOn w:val="8"/>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600</Words>
  <Characters>3423</Characters>
  <Lines>28</Lines>
  <Paragraphs>8</Paragraphs>
  <TotalTime>0</TotalTime>
  <ScaleCrop>false</ScaleCrop>
  <LinksUpToDate>false</LinksUpToDate>
  <CharactersWithSpaces>4015</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2024-02-04T09:41:45Z</dcterms:modified>
  <cp:revision>1656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3170BF808294455E9840A443CD4013F1_12</vt:lpwstr>
  </property>
</Properties>
</file>