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工布江达县仲莎</w:t>
      </w:r>
      <w:r>
        <w:rPr>
          <w:rFonts w:hint="eastAsia" w:ascii="方正小标宋简体" w:hAnsi="仿宋" w:eastAsia="方正小标宋简体"/>
          <w:sz w:val="44"/>
          <w:szCs w:val="44"/>
          <w:lang w:eastAsia="zh-CN"/>
        </w:rPr>
        <w:t>乡</w:t>
      </w:r>
      <w:r>
        <w:rPr>
          <w:rFonts w:hint="eastAsia" w:ascii="方正小标宋简体" w:hAnsi="仿宋" w:eastAsia="方正小标宋简体"/>
          <w:sz w:val="44"/>
          <w:szCs w:val="44"/>
        </w:rPr>
        <w:t>卫生院2025年度</w:t>
      </w:r>
      <w:r>
        <w:rPr>
          <w:rFonts w:hint="eastAsia" w:ascii="方正小标宋简体" w:hAnsi="仿宋" w:eastAsia="方正小标宋简体"/>
          <w:sz w:val="44"/>
          <w:szCs w:val="44"/>
          <w:lang w:eastAsia="zh-CN"/>
        </w:rPr>
        <w:t>单位</w:t>
      </w:r>
      <w:r>
        <w:rPr>
          <w:rFonts w:hint="eastAsia" w:ascii="方正小标宋简体" w:hAnsi="仿宋" w:eastAsia="方正小标宋简体"/>
          <w:sz w:val="44"/>
          <w:szCs w:val="44"/>
        </w:rPr>
        <w:t>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both"/>
        <w:rPr>
          <w:rFonts w:hint="eastAsia" w:ascii="仿宋" w:hAnsi="仿宋" w:eastAsia="仿宋"/>
          <w:sz w:val="32"/>
          <w:szCs w:val="32"/>
        </w:rPr>
      </w:pPr>
    </w:p>
    <w:p>
      <w:pPr>
        <w:jc w:val="both"/>
        <w:rPr>
          <w:rFonts w:hint="eastAsia" w:ascii="仿宋" w:hAnsi="仿宋" w:eastAsia="仿宋"/>
          <w:sz w:val="32"/>
          <w:szCs w:val="32"/>
        </w:rPr>
      </w:pPr>
    </w:p>
    <w:p>
      <w:pPr>
        <w:jc w:val="center"/>
        <w:rPr>
          <w:rFonts w:hint="eastAsia"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2025年1月21日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第一部分工布江达县仲莎卫生院单位</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第二部分工布江达县仲莎卫生院预算明细表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第三部分工布江达县仲莎卫生院预算数据分析</w:t>
      </w:r>
    </w:p>
    <w:p>
      <w:pPr>
        <w:rPr>
          <w:rFonts w:ascii="黑体" w:hAnsi="黑体" w:eastAsia="黑体"/>
          <w:sz w:val="32"/>
          <w:szCs w:val="32"/>
        </w:rPr>
      </w:pPr>
      <w:r>
        <w:rPr>
          <w:rFonts w:hint="eastAsia" w:ascii="黑体" w:hAnsi="黑体" w:eastAsia="黑体"/>
          <w:sz w:val="32"/>
          <w:szCs w:val="32"/>
        </w:rPr>
        <w:t>一、单位收支总体情况</w:t>
      </w:r>
    </w:p>
    <w:p>
      <w:pPr>
        <w:rPr>
          <w:rFonts w:ascii="黑体" w:hAnsi="黑体" w:eastAsia="黑体"/>
          <w:sz w:val="32"/>
          <w:szCs w:val="32"/>
        </w:rPr>
      </w:pPr>
      <w:r>
        <w:rPr>
          <w:rFonts w:hint="eastAsia" w:ascii="黑体" w:hAnsi="黑体" w:eastAsia="黑体"/>
          <w:sz w:val="32"/>
          <w:szCs w:val="32"/>
        </w:rPr>
        <w:t>二、单位收入总体情况</w:t>
      </w:r>
    </w:p>
    <w:p>
      <w:pPr>
        <w:rPr>
          <w:rFonts w:ascii="黑体" w:hAnsi="黑体" w:eastAsia="黑体"/>
          <w:sz w:val="32"/>
          <w:szCs w:val="32"/>
        </w:rPr>
      </w:pPr>
      <w:r>
        <w:rPr>
          <w:rFonts w:hint="eastAsia" w:ascii="黑体" w:hAnsi="黑体" w:eastAsia="黑体"/>
          <w:sz w:val="32"/>
          <w:szCs w:val="32"/>
        </w:rPr>
        <w:t>三、单位支出总体情况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ind w:firstLine="1120" w:firstLineChars="350"/>
        <w:rPr>
          <w:rFonts w:ascii="方正小标宋简体" w:hAnsi="仿宋" w:eastAsia="方正小标宋简体"/>
          <w:sz w:val="32"/>
          <w:szCs w:val="32"/>
        </w:rPr>
      </w:pPr>
      <w:r>
        <w:rPr>
          <w:rFonts w:hint="eastAsia" w:ascii="方正小标宋简体" w:hAnsi="仿宋" w:eastAsia="方正小标宋简体"/>
          <w:sz w:val="32"/>
          <w:szCs w:val="32"/>
        </w:rPr>
        <w:t>工布江达县仲莎卫生院单位概况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1、负责贯彻落实卫生法律，法规和部门规章制度，以提高医疗服务质量为主题，提供服务意识，改善服务态度，转变服务作风，注重诚信服务，增进</w:t>
      </w:r>
      <w:r>
        <w:rPr>
          <w:rFonts w:hint="eastAsia" w:ascii="仿宋_GB2312" w:eastAsia="仿宋_GB2312"/>
          <w:sz w:val="32"/>
          <w:szCs w:val="32"/>
          <w:lang w:eastAsia="zh-CN"/>
        </w:rPr>
        <w:t>医患</w:t>
      </w:r>
      <w:r>
        <w:rPr>
          <w:rFonts w:hint="eastAsia" w:ascii="仿宋_GB2312" w:eastAsia="仿宋_GB2312"/>
          <w:sz w:val="32"/>
          <w:szCs w:val="32"/>
        </w:rPr>
        <w:t>沟通，构建和谐医患关系，维护群众利益，保证医疗质量和安全，优化职业环境，降低医药费用，改进服务流程，改善就医环境，方便病人就医，不断提高全乡人民健康水平服务。</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2、为人民群众提供较高水平的医疗服务。</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3、承担保健、预防、康复、健康教育等医疗事业发展任务，起到区域性指导的职能。</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4、承担每年居民健康体检，为全镇人民的身体健康提供藏西医为主的医疗与护理保健服务。</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5、在卫生行政部门的领导下，负责并配合做好突发事件的医疗救援任务。</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6、贯彻执行传染病预防和管理工作，并做好各种常见病和多发病的诊断治疗工作。</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7、负责配合做好全镇卫生技术人员（村医）的教学和培训工作，负责做好医院医疗安全、护理安全、消防安全、环境安全、饮食卫生等工作。</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9、贯彻执行党的路线、方针、政策和上级的决议，引导树立正确的政治和良好的职业道德。</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10、贯彻执行党的卫生方针和中医政策，防治疾病，保障人民健康，为社会主义现代化建设服务。</w:t>
      </w:r>
    </w:p>
    <w:p>
      <w:pPr>
        <w:spacing w:line="576"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11、树立患者至上，全</w:t>
      </w:r>
      <w:r>
        <w:rPr>
          <w:rFonts w:hint="eastAsia" w:ascii="仿宋_GB2312" w:eastAsia="仿宋_GB2312"/>
          <w:sz w:val="32"/>
          <w:szCs w:val="32"/>
          <w:lang w:eastAsia="zh-CN"/>
        </w:rPr>
        <w:t>心</w:t>
      </w:r>
      <w:r>
        <w:rPr>
          <w:rFonts w:hint="eastAsia" w:ascii="仿宋_GB2312" w:eastAsia="仿宋_GB2312"/>
          <w:sz w:val="32"/>
          <w:szCs w:val="32"/>
        </w:rPr>
        <w:t>全意为人民服务的思想，建设符合国家标准的现代化医院。</w:t>
      </w:r>
      <w:r>
        <w:rPr>
          <w:rFonts w:hint="eastAsia" w:ascii="MS Mincho" w:hAnsi="MS Mincho" w:eastAsia="MS Mincho" w:cs="MS Mincho"/>
          <w:sz w:val="32"/>
          <w:szCs w:val="32"/>
        </w:rPr>
        <w:t> </w:t>
      </w:r>
      <w:r>
        <w:rPr>
          <w:rFonts w:hint="eastAsia" w:ascii="仿宋_GB2312" w:hAnsi="仿宋_GB2312" w:eastAsia="仿宋_GB2312" w:cs="仿宋_GB2312"/>
          <w:sz w:val="32"/>
          <w:szCs w:val="32"/>
        </w:rPr>
        <w:t>机构设</w:t>
      </w:r>
      <w:r>
        <w:rPr>
          <w:rFonts w:hint="eastAsia" w:ascii="仿宋_GB2312" w:eastAsia="仿宋_GB2312"/>
          <w:sz w:val="32"/>
          <w:szCs w:val="32"/>
        </w:rPr>
        <w:t>置</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仲莎卫生院卫生院事业编制。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第二部分工布江达县仲莎卫生院单位2025年度预算明细表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both"/>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ind w:firstLine="800" w:firstLineChars="250"/>
        <w:rPr>
          <w:rFonts w:ascii="方正小标宋简体" w:hAnsi="仿宋" w:eastAsia="方正小标宋简体"/>
          <w:sz w:val="32"/>
          <w:szCs w:val="32"/>
        </w:rPr>
      </w:pPr>
      <w:r>
        <w:rPr>
          <w:rFonts w:hint="eastAsia" w:ascii="方正小标宋简体" w:hAnsi="仿宋" w:eastAsia="方正小标宋简体"/>
          <w:sz w:val="32"/>
          <w:szCs w:val="32"/>
        </w:rPr>
        <w:t>工布江达县仲莎卫生院2025年度单位预算数据分析</w:t>
      </w:r>
    </w:p>
    <w:p>
      <w:pPr>
        <w:jc w:val="center"/>
        <w:rPr>
          <w:rFonts w:ascii="黑体" w:hAnsi="黑体" w:eastAsia="黑体"/>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收支总预算277.66万元。收入包括：一般公共预算拨款收入、收入包括：一般公共预算拨款收入、上年结转；支出包括：社会保障和就业支出28.65万元、卫生健康支出228.52万元、住房保障支出20.49万元。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收入预算总量277.66万元，同比增加37.65万元，主要</w:t>
      </w:r>
      <w:r>
        <w:rPr>
          <w:rFonts w:ascii="仿宋" w:hAnsi="仿宋" w:eastAsia="仿宋"/>
          <w:sz w:val="32"/>
          <w:szCs w:val="32"/>
        </w:rPr>
        <w:t>原因是：人员增加经费增加</w:t>
      </w:r>
      <w:r>
        <w:rPr>
          <w:rFonts w:hint="eastAsia" w:ascii="仿宋" w:hAnsi="仿宋" w:eastAsia="仿宋"/>
          <w:sz w:val="32"/>
          <w:szCs w:val="32"/>
        </w:rPr>
        <w:t>。其中：上年结转万元7.35，占2.65%；2025年一般公共预算拨款收入270.31万元，占97.37%；2025年政府性基金</w:t>
      </w:r>
      <w:r>
        <w:rPr>
          <w:rFonts w:ascii="仿宋" w:hAnsi="仿宋" w:eastAsia="仿宋"/>
          <w:sz w:val="32"/>
          <w:szCs w:val="32"/>
        </w:rPr>
        <w:t>预算</w:t>
      </w:r>
      <w:r>
        <w:rPr>
          <w:rFonts w:hint="eastAsia" w:ascii="仿宋" w:hAnsi="仿宋" w:eastAsia="仿宋"/>
          <w:sz w:val="32"/>
          <w:szCs w:val="32"/>
        </w:rPr>
        <w:t>拨款收入0万元，占0%；2025年国有资本</w:t>
      </w:r>
      <w:r>
        <w:rPr>
          <w:rFonts w:ascii="仿宋" w:hAnsi="仿宋" w:eastAsia="仿宋"/>
          <w:sz w:val="32"/>
          <w:szCs w:val="32"/>
        </w:rPr>
        <w:t>经营预算</w:t>
      </w:r>
      <w:r>
        <w:rPr>
          <w:rFonts w:hint="eastAsia" w:ascii="仿宋" w:hAnsi="仿宋" w:eastAsia="仿宋"/>
          <w:sz w:val="32"/>
          <w:szCs w:val="32"/>
        </w:rPr>
        <w:t>拨款收入0万元，占0%</w:t>
      </w:r>
      <w:r>
        <w:rPr>
          <w:rFonts w:hint="eastAsia" w:ascii="仿宋_GB2312" w:eastAsia="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支出预算总量277.66万元，同比增加37.59万元，主要</w:t>
      </w:r>
      <w:r>
        <w:rPr>
          <w:rFonts w:ascii="仿宋" w:hAnsi="仿宋" w:eastAsia="仿宋"/>
          <w:sz w:val="32"/>
          <w:szCs w:val="32"/>
        </w:rPr>
        <w:t>原因是：人员增加</w:t>
      </w:r>
      <w:r>
        <w:rPr>
          <w:rFonts w:hint="eastAsia" w:ascii="仿宋" w:hAnsi="仿宋" w:eastAsia="仿宋"/>
          <w:sz w:val="32"/>
          <w:szCs w:val="32"/>
        </w:rPr>
        <w:t>，</w:t>
      </w:r>
      <w:r>
        <w:rPr>
          <w:rFonts w:ascii="仿宋" w:hAnsi="仿宋" w:eastAsia="仿宋"/>
          <w:sz w:val="32"/>
          <w:szCs w:val="32"/>
        </w:rPr>
        <w:t>经费增加</w:t>
      </w:r>
      <w:r>
        <w:rPr>
          <w:rFonts w:hint="eastAsia" w:ascii="仿宋" w:hAnsi="仿宋" w:eastAsia="仿宋"/>
          <w:sz w:val="32"/>
          <w:szCs w:val="32"/>
        </w:rPr>
        <w:t>。其中：基本支出265.87万元，占95.75%；项目支出11.79万元，占4.25%；事业单位经营支出0万元，占0%。</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240" w:lineRule="auto"/>
        <w:ind w:firstLine="640" w:firstLineChars="200"/>
        <w:textAlignment w:val="auto"/>
        <w:rPr>
          <w:rFonts w:hint="eastAsia" w:ascii="仿宋" w:hAnsi="仿宋" w:eastAsia="仿宋" w:cs="Times New Roman"/>
          <w:kern w:val="2"/>
          <w:sz w:val="32"/>
          <w:szCs w:val="32"/>
          <w:lang w:val="en-US" w:eastAsia="zh-CN" w:bidi="ar-SA"/>
        </w:rPr>
      </w:pPr>
      <w:r>
        <w:rPr>
          <w:rFonts w:hint="eastAsia" w:ascii="仿宋" w:hAnsi="仿宋" w:eastAsia="仿宋" w:cs="Times New Roman"/>
          <w:kern w:val="2"/>
          <w:sz w:val="32"/>
          <w:szCs w:val="32"/>
          <w:lang w:val="en-US" w:eastAsia="zh-CN" w:bidi="ar-SA"/>
        </w:rPr>
        <w:t>财政拨款收支总预算277.66万元，同比增加37.65万元，主要原因是：人员增加，经费增加。收入包括：一般公共预算当年拨款收入270.31万元、政府性基金0万元、国有资本经营预算0万元、上年结转7.35万元，支出包括：一般公共服务支出0万元、外交支出0万元、教育支出0万元、科学技术支出0万元、文化旅游体育与传媒支出0万元、社会保障和就业支出28.65万元、卫生健康支出221.17万元、住房保障支出20.49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一般公共预算当年拨款270.31万元,比2024年执行数增加24.78万元，主要原因：人员增加，经费增加社保基数调整。</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一般公共预算当年拨款270.31万元,主要</w:t>
      </w:r>
      <w:r>
        <w:rPr>
          <w:rFonts w:ascii="仿宋" w:hAnsi="仿宋" w:eastAsia="仿宋"/>
          <w:sz w:val="32"/>
          <w:szCs w:val="32"/>
        </w:rPr>
        <w:t>用于以下方面：</w:t>
      </w:r>
      <w:r>
        <w:rPr>
          <w:rFonts w:hint="eastAsia" w:ascii="仿宋" w:hAnsi="仿宋" w:eastAsia="仿宋"/>
          <w:sz w:val="32"/>
          <w:szCs w:val="32"/>
        </w:rPr>
        <w:t>一般公共服务支出0万元，占0%；教育支出0万元，占%；科学技术支出0万元，占0%社会保障和就业支出</w:t>
      </w:r>
      <w:r>
        <w:rPr>
          <w:rFonts w:hint="eastAsia" w:ascii="仿宋" w:hAnsi="仿宋" w:eastAsia="仿宋"/>
          <w:sz w:val="32"/>
          <w:szCs w:val="32"/>
          <w:u w:val="single"/>
        </w:rPr>
        <w:t>28.65</w:t>
      </w:r>
      <w:r>
        <w:rPr>
          <w:rFonts w:hint="eastAsia" w:ascii="仿宋" w:hAnsi="仿宋" w:eastAsia="仿宋"/>
          <w:sz w:val="32"/>
          <w:szCs w:val="32"/>
        </w:rPr>
        <w:t>万元，占10.59；卫生健康支出</w:t>
      </w:r>
      <w:r>
        <w:rPr>
          <w:rFonts w:hint="eastAsia" w:ascii="仿宋" w:hAnsi="仿宋" w:eastAsia="仿宋"/>
          <w:sz w:val="32"/>
          <w:szCs w:val="32"/>
          <w:u w:val="single"/>
        </w:rPr>
        <w:t>221.17</w:t>
      </w:r>
      <w:r>
        <w:rPr>
          <w:rFonts w:hint="eastAsia" w:ascii="仿宋" w:hAnsi="仿宋" w:eastAsia="仿宋"/>
          <w:sz w:val="32"/>
          <w:szCs w:val="32"/>
        </w:rPr>
        <w:t>万元，占</w:t>
      </w:r>
      <w:r>
        <w:rPr>
          <w:rFonts w:hint="eastAsia" w:ascii="仿宋" w:hAnsi="仿宋" w:eastAsia="仿宋"/>
          <w:sz w:val="32"/>
          <w:szCs w:val="32"/>
          <w:u w:val="single"/>
        </w:rPr>
        <w:t>81.82</w:t>
      </w:r>
      <w:r>
        <w:rPr>
          <w:rFonts w:hint="eastAsia" w:ascii="仿宋" w:hAnsi="仿宋" w:eastAsia="仿宋"/>
          <w:sz w:val="32"/>
          <w:szCs w:val="32"/>
        </w:rPr>
        <w:t>%；住房保障支出</w:t>
      </w:r>
      <w:r>
        <w:rPr>
          <w:rFonts w:hint="eastAsia" w:ascii="仿宋" w:hAnsi="仿宋" w:eastAsia="仿宋"/>
          <w:sz w:val="32"/>
          <w:szCs w:val="32"/>
          <w:u w:val="single"/>
        </w:rPr>
        <w:t>20.49</w:t>
      </w:r>
      <w:r>
        <w:rPr>
          <w:rFonts w:hint="eastAsia" w:ascii="仿宋" w:hAnsi="仿宋" w:eastAsia="仿宋"/>
          <w:sz w:val="32"/>
          <w:szCs w:val="32"/>
        </w:rPr>
        <w:t>万元，占</w:t>
      </w:r>
      <w:r>
        <w:rPr>
          <w:rFonts w:hint="eastAsia" w:ascii="仿宋" w:hAnsi="仿宋" w:eastAsia="仿宋"/>
          <w:sz w:val="32"/>
          <w:szCs w:val="32"/>
          <w:u w:val="single"/>
        </w:rPr>
        <w:t>7.58</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keepNext w:val="0"/>
        <w:keepLines w:val="0"/>
        <w:pageBreakBefore w:val="0"/>
        <w:widowControl w:val="0"/>
        <w:tabs>
          <w:tab w:val="left" w:pos="738"/>
        </w:tabs>
        <w:kinsoku/>
        <w:wordWrap/>
        <w:overflowPunct/>
        <w:topLinePunct w:val="0"/>
        <w:autoSpaceDE/>
        <w:autoSpaceDN/>
        <w:bidi w:val="0"/>
        <w:adjustRightInd/>
        <w:snapToGrid/>
        <w:ind w:left="0" w:firstLine="640" w:firstLineChars="200"/>
        <w:textAlignment w:val="auto"/>
        <w:rPr>
          <w:rFonts w:ascii="仿宋" w:hAnsi="仿宋" w:eastAsia="仿宋"/>
          <w:sz w:val="32"/>
          <w:szCs w:val="32"/>
        </w:rPr>
      </w:pPr>
      <w:r>
        <w:rPr>
          <w:rFonts w:hint="eastAsia" w:ascii="仿宋" w:hAnsi="仿宋" w:eastAsia="仿宋"/>
          <w:sz w:val="32"/>
          <w:szCs w:val="32"/>
        </w:rPr>
        <w:t>1.社会保障和就业支出（类）行政事业单位养老支出（款）机关事业单位基本养老保险缴费支出（项）预算数为</w:t>
      </w:r>
      <w:r>
        <w:rPr>
          <w:rFonts w:hint="eastAsia" w:ascii="仿宋" w:hAnsi="仿宋" w:eastAsia="仿宋"/>
          <w:sz w:val="32"/>
          <w:szCs w:val="32"/>
          <w:u w:val="single"/>
        </w:rPr>
        <w:t>28.65</w:t>
      </w:r>
      <w:r>
        <w:rPr>
          <w:rFonts w:hint="eastAsia" w:ascii="仿宋" w:hAnsi="仿宋" w:eastAsia="仿宋"/>
          <w:sz w:val="32"/>
          <w:szCs w:val="32"/>
        </w:rPr>
        <w:t>万元，比2024年执行数增加</w:t>
      </w:r>
      <w:r>
        <w:rPr>
          <w:rFonts w:hint="eastAsia" w:ascii="仿宋" w:hAnsi="仿宋" w:eastAsia="仿宋"/>
          <w:sz w:val="32"/>
          <w:szCs w:val="32"/>
          <w:u w:val="single"/>
        </w:rPr>
        <w:t>28.65</w:t>
      </w:r>
      <w:r>
        <w:rPr>
          <w:rFonts w:hint="eastAsia" w:ascii="仿宋" w:hAnsi="仿宋" w:eastAsia="仿宋"/>
          <w:sz w:val="32"/>
          <w:szCs w:val="32"/>
        </w:rPr>
        <w:t>万元，增长</w:t>
      </w:r>
      <w:r>
        <w:rPr>
          <w:rFonts w:hint="eastAsia" w:ascii="仿宋" w:hAnsi="仿宋" w:eastAsia="仿宋"/>
          <w:sz w:val="32"/>
          <w:szCs w:val="32"/>
          <w:u w:val="single"/>
        </w:rPr>
        <w:t>100</w:t>
      </w:r>
      <w:r>
        <w:rPr>
          <w:rFonts w:hint="eastAsia" w:ascii="仿宋" w:hAnsi="仿宋" w:eastAsia="仿宋"/>
          <w:sz w:val="32"/>
          <w:szCs w:val="32"/>
        </w:rPr>
        <w:t>%。主要是上年使用社会保障和就业支出（类）财政对基本养老保险基金的补助（款）财政对其他基本养老保险基金的补助（项）科目核算，上年资金执行数24.91万元，增加3.74万元，增长13.05%，差异来源与人员变动及社保基数调整；</w:t>
      </w:r>
    </w:p>
    <w:p>
      <w:pPr>
        <w:keepNext w:val="0"/>
        <w:keepLines w:val="0"/>
        <w:pageBreakBefore w:val="0"/>
        <w:widowControl w:val="0"/>
        <w:tabs>
          <w:tab w:val="left" w:pos="738"/>
        </w:tabs>
        <w:kinsoku/>
        <w:wordWrap/>
        <w:overflowPunct/>
        <w:topLinePunct w:val="0"/>
        <w:autoSpaceDE/>
        <w:autoSpaceDN/>
        <w:bidi w:val="0"/>
        <w:adjustRightInd/>
        <w:snapToGrid/>
        <w:ind w:left="0" w:firstLine="640" w:firstLineChars="200"/>
        <w:textAlignment w:val="auto"/>
        <w:rPr>
          <w:rFonts w:ascii="仿宋" w:hAnsi="仿宋" w:eastAsia="仿宋"/>
          <w:sz w:val="32"/>
          <w:szCs w:val="32"/>
        </w:rPr>
      </w:pPr>
      <w:r>
        <w:rPr>
          <w:rFonts w:hint="eastAsia" w:ascii="仿宋" w:hAnsi="仿宋" w:eastAsia="仿宋"/>
          <w:sz w:val="32"/>
          <w:szCs w:val="32"/>
        </w:rPr>
        <w:t>2.卫生健康支出（类）基层医疗卫生机构（款）乡镇卫生院（项）预算数为</w:t>
      </w:r>
      <w:r>
        <w:rPr>
          <w:rFonts w:hint="eastAsia" w:ascii="仿宋" w:hAnsi="仿宋" w:eastAsia="仿宋"/>
          <w:sz w:val="32"/>
          <w:szCs w:val="32"/>
          <w:u w:val="single"/>
        </w:rPr>
        <w:t>200.17</w:t>
      </w:r>
      <w:r>
        <w:rPr>
          <w:rFonts w:hint="eastAsia" w:ascii="仿宋" w:hAnsi="仿宋" w:eastAsia="仿宋"/>
          <w:sz w:val="32"/>
          <w:szCs w:val="32"/>
        </w:rPr>
        <w:t>万元，比2024年执行数增加</w:t>
      </w:r>
      <w:r>
        <w:rPr>
          <w:rFonts w:hint="eastAsia" w:ascii="仿宋" w:hAnsi="仿宋" w:eastAsia="仿宋"/>
          <w:sz w:val="32"/>
          <w:szCs w:val="32"/>
          <w:u w:val="single"/>
        </w:rPr>
        <w:t>19.73</w:t>
      </w:r>
      <w:r>
        <w:rPr>
          <w:rFonts w:hint="eastAsia" w:ascii="仿宋" w:hAnsi="仿宋" w:eastAsia="仿宋"/>
          <w:sz w:val="32"/>
          <w:szCs w:val="32"/>
        </w:rPr>
        <w:t>万元，增长</w:t>
      </w:r>
      <w:r>
        <w:rPr>
          <w:rFonts w:hint="eastAsia" w:ascii="仿宋" w:hAnsi="仿宋" w:eastAsia="仿宋"/>
          <w:sz w:val="32"/>
          <w:szCs w:val="32"/>
          <w:u w:val="single"/>
        </w:rPr>
        <w:t>9.86%</w:t>
      </w:r>
      <w:r>
        <w:rPr>
          <w:rFonts w:hint="eastAsia" w:ascii="仿宋" w:hAnsi="仿宋" w:eastAsia="仿宋"/>
          <w:sz w:val="32"/>
          <w:szCs w:val="32"/>
        </w:rPr>
        <w:t>。主要是2025人员增加，经费增加。</w:t>
      </w:r>
    </w:p>
    <w:p>
      <w:pPr>
        <w:keepNext w:val="0"/>
        <w:keepLines w:val="0"/>
        <w:pageBreakBefore w:val="0"/>
        <w:widowControl w:val="0"/>
        <w:tabs>
          <w:tab w:val="left" w:pos="312"/>
        </w:tabs>
        <w:kinsoku/>
        <w:wordWrap/>
        <w:overflowPunct/>
        <w:topLinePunct w:val="0"/>
        <w:autoSpaceDE/>
        <w:autoSpaceDN/>
        <w:bidi w:val="0"/>
        <w:adjustRightInd/>
        <w:snapToGrid/>
        <w:ind w:left="0" w:firstLine="640" w:firstLineChars="200"/>
        <w:textAlignment w:val="auto"/>
        <w:rPr>
          <w:rFonts w:ascii="仿宋" w:hAnsi="仿宋" w:eastAsia="仿宋"/>
          <w:sz w:val="32"/>
          <w:szCs w:val="32"/>
        </w:rPr>
      </w:pPr>
      <w:r>
        <w:rPr>
          <w:rFonts w:hint="eastAsia" w:ascii="仿宋" w:hAnsi="仿宋" w:eastAsia="仿宋"/>
          <w:sz w:val="32"/>
          <w:szCs w:val="32"/>
        </w:rPr>
        <w:t>3.行政事业单位医疗（类）事业单位医疗（款）公务员医疗补助院（项）预算数为</w:t>
      </w:r>
      <w:r>
        <w:rPr>
          <w:rFonts w:hint="eastAsia" w:ascii="仿宋" w:hAnsi="仿宋" w:eastAsia="仿宋"/>
          <w:sz w:val="32"/>
          <w:szCs w:val="32"/>
          <w:u w:val="single"/>
        </w:rPr>
        <w:t>3.41</w:t>
      </w:r>
      <w:r>
        <w:rPr>
          <w:rFonts w:hint="eastAsia" w:ascii="仿宋" w:hAnsi="仿宋" w:eastAsia="仿宋"/>
          <w:sz w:val="32"/>
          <w:szCs w:val="32"/>
        </w:rPr>
        <w:t>万元，比2024年执行数增加</w:t>
      </w:r>
      <w:r>
        <w:rPr>
          <w:rFonts w:hint="eastAsia" w:ascii="仿宋" w:hAnsi="仿宋" w:eastAsia="仿宋"/>
          <w:sz w:val="32"/>
          <w:szCs w:val="32"/>
          <w:u w:val="single"/>
        </w:rPr>
        <w:t>3.29</w:t>
      </w:r>
      <w:r>
        <w:rPr>
          <w:rFonts w:hint="eastAsia" w:ascii="仿宋" w:hAnsi="仿宋" w:eastAsia="仿宋"/>
          <w:sz w:val="32"/>
          <w:szCs w:val="32"/>
        </w:rPr>
        <w:t>万元，增长</w:t>
      </w:r>
      <w:r>
        <w:rPr>
          <w:rFonts w:hint="eastAsia" w:ascii="仿宋" w:hAnsi="仿宋" w:eastAsia="仿宋"/>
          <w:sz w:val="32"/>
          <w:szCs w:val="32"/>
          <w:u w:val="single"/>
        </w:rPr>
        <w:t>96.48</w:t>
      </w:r>
      <w:r>
        <w:rPr>
          <w:rFonts w:hint="eastAsia" w:ascii="仿宋" w:hAnsi="仿宋" w:eastAsia="仿宋"/>
          <w:sz w:val="32"/>
          <w:szCs w:val="32"/>
        </w:rPr>
        <w:t>%。主要是事业单位公务员医疗补助取消；</w:t>
      </w:r>
    </w:p>
    <w:p>
      <w:pPr>
        <w:keepNext w:val="0"/>
        <w:keepLines w:val="0"/>
        <w:pageBreakBefore w:val="0"/>
        <w:widowControl w:val="0"/>
        <w:tabs>
          <w:tab w:val="left" w:pos="312"/>
        </w:tabs>
        <w:kinsoku/>
        <w:wordWrap/>
        <w:overflowPunct/>
        <w:topLinePunct w:val="0"/>
        <w:autoSpaceDE/>
        <w:autoSpaceDN/>
        <w:bidi w:val="0"/>
        <w:adjustRightInd/>
        <w:snapToGrid/>
        <w:ind w:left="0" w:firstLine="640" w:firstLineChars="200"/>
        <w:textAlignment w:val="auto"/>
        <w:rPr>
          <w:rFonts w:ascii="仿宋" w:hAnsi="仿宋" w:eastAsia="仿宋"/>
          <w:sz w:val="32"/>
          <w:szCs w:val="32"/>
        </w:rPr>
      </w:pPr>
      <w:r>
        <w:rPr>
          <w:rFonts w:hint="eastAsia" w:ascii="仿宋" w:hAnsi="仿宋" w:eastAsia="仿宋"/>
          <w:sz w:val="32"/>
          <w:szCs w:val="32"/>
        </w:rPr>
        <w:t>4.住房保障支出（类）住房改革支出（款）住房公积金（项）预算数为</w:t>
      </w:r>
      <w:r>
        <w:rPr>
          <w:rFonts w:hint="eastAsia" w:ascii="仿宋" w:hAnsi="仿宋" w:eastAsia="仿宋"/>
          <w:sz w:val="32"/>
          <w:szCs w:val="32"/>
          <w:u w:val="single"/>
        </w:rPr>
        <w:t>20.49</w:t>
      </w:r>
      <w:r>
        <w:rPr>
          <w:rFonts w:hint="eastAsia" w:ascii="仿宋" w:hAnsi="仿宋" w:eastAsia="仿宋"/>
          <w:sz w:val="32"/>
          <w:szCs w:val="32"/>
        </w:rPr>
        <w:t>万元，比2024年执行增加</w:t>
      </w:r>
      <w:r>
        <w:rPr>
          <w:rFonts w:hint="eastAsia" w:ascii="仿宋" w:hAnsi="仿宋" w:eastAsia="仿宋"/>
          <w:sz w:val="32"/>
          <w:szCs w:val="32"/>
          <w:u w:val="single"/>
        </w:rPr>
        <w:t>1.52万元</w:t>
      </w:r>
      <w:r>
        <w:rPr>
          <w:rFonts w:hint="eastAsia" w:ascii="仿宋" w:hAnsi="仿宋" w:eastAsia="仿宋"/>
          <w:sz w:val="32"/>
          <w:szCs w:val="32"/>
        </w:rPr>
        <w:t>，增长</w:t>
      </w:r>
      <w:r>
        <w:rPr>
          <w:rFonts w:hint="eastAsia" w:ascii="仿宋" w:hAnsi="仿宋" w:eastAsia="仿宋"/>
          <w:sz w:val="32"/>
          <w:szCs w:val="32"/>
          <w:u w:val="single"/>
        </w:rPr>
        <w:t>7.42</w:t>
      </w:r>
      <w:r>
        <w:rPr>
          <w:rFonts w:hint="eastAsia" w:ascii="仿宋" w:hAnsi="仿宋" w:eastAsia="仿宋"/>
          <w:sz w:val="32"/>
          <w:szCs w:val="32"/>
        </w:rPr>
        <w:t>%。主要是人员变动及公积金基数调整。</w:t>
      </w:r>
    </w:p>
    <w:p>
      <w:pPr>
        <w:keepNext w:val="0"/>
        <w:keepLines w:val="0"/>
        <w:pageBreakBefore w:val="0"/>
        <w:widowControl w:val="0"/>
        <w:tabs>
          <w:tab w:val="left" w:pos="312"/>
        </w:tabs>
        <w:kinsoku/>
        <w:wordWrap/>
        <w:overflowPunct/>
        <w:topLinePunct w:val="0"/>
        <w:autoSpaceDE/>
        <w:autoSpaceDN/>
        <w:bidi w:val="0"/>
        <w:adjustRightInd/>
        <w:snapToGrid/>
        <w:ind w:left="0" w:firstLine="640" w:firstLineChars="200"/>
        <w:textAlignment w:val="auto"/>
        <w:rPr>
          <w:rFonts w:ascii="仿宋" w:hAnsi="仿宋" w:eastAsia="仿宋"/>
          <w:sz w:val="32"/>
          <w:szCs w:val="32"/>
        </w:rPr>
      </w:pPr>
      <w:r>
        <w:rPr>
          <w:rFonts w:hint="eastAsia" w:ascii="仿宋" w:hAnsi="仿宋" w:eastAsia="仿宋"/>
          <w:sz w:val="32"/>
          <w:szCs w:val="32"/>
        </w:rPr>
        <w:t>5.卫生健康支出（类）基层医疗卫生机构（款）基本公共卫生服务（项）预算数为</w:t>
      </w:r>
      <w:r>
        <w:rPr>
          <w:rFonts w:hint="eastAsia" w:ascii="仿宋" w:hAnsi="仿宋" w:eastAsia="仿宋"/>
          <w:sz w:val="32"/>
          <w:szCs w:val="32"/>
          <w:u w:val="single"/>
        </w:rPr>
        <w:t>4.44</w:t>
      </w:r>
      <w:r>
        <w:rPr>
          <w:rFonts w:hint="eastAsia" w:ascii="仿宋" w:hAnsi="仿宋" w:eastAsia="仿宋"/>
          <w:sz w:val="32"/>
          <w:szCs w:val="32"/>
        </w:rPr>
        <w:t>万元，比2024年执行数增加</w:t>
      </w:r>
      <w:r>
        <w:rPr>
          <w:rFonts w:hint="eastAsia" w:ascii="仿宋" w:hAnsi="仿宋" w:eastAsia="仿宋"/>
          <w:sz w:val="32"/>
          <w:szCs w:val="32"/>
          <w:u w:val="single"/>
        </w:rPr>
        <w:t>2.1</w:t>
      </w:r>
      <w:r>
        <w:rPr>
          <w:rFonts w:hint="eastAsia" w:ascii="仿宋" w:hAnsi="仿宋" w:eastAsia="仿宋"/>
          <w:sz w:val="32"/>
          <w:szCs w:val="32"/>
        </w:rPr>
        <w:t>万元，增长</w:t>
      </w:r>
      <w:r>
        <w:rPr>
          <w:rFonts w:hint="eastAsia" w:ascii="仿宋" w:hAnsi="仿宋" w:eastAsia="仿宋"/>
          <w:sz w:val="32"/>
          <w:szCs w:val="32"/>
          <w:u w:val="single"/>
        </w:rPr>
        <w:t>47.3</w:t>
      </w:r>
      <w:r>
        <w:rPr>
          <w:rFonts w:hint="eastAsia" w:ascii="仿宋" w:hAnsi="仿宋" w:eastAsia="仿宋"/>
          <w:sz w:val="32"/>
          <w:szCs w:val="32"/>
        </w:rPr>
        <w:t>%。主要是单位有上年结转资金。</w:t>
      </w:r>
    </w:p>
    <w:p>
      <w:pPr>
        <w:keepNext w:val="0"/>
        <w:keepLines w:val="0"/>
        <w:pageBreakBefore w:val="0"/>
        <w:widowControl w:val="0"/>
        <w:tabs>
          <w:tab w:val="left" w:pos="312"/>
        </w:tabs>
        <w:kinsoku/>
        <w:wordWrap/>
        <w:overflowPunct/>
        <w:topLinePunct w:val="0"/>
        <w:autoSpaceDE/>
        <w:autoSpaceDN/>
        <w:bidi w:val="0"/>
        <w:adjustRightInd/>
        <w:snapToGrid/>
        <w:ind w:left="0" w:firstLine="640" w:firstLineChars="200"/>
        <w:textAlignment w:val="auto"/>
        <w:rPr>
          <w:rFonts w:hint="eastAsia" w:ascii="仿宋" w:hAnsi="仿宋" w:eastAsia="仿宋"/>
          <w:sz w:val="32"/>
          <w:szCs w:val="32"/>
          <w:lang w:eastAsia="zh-CN"/>
        </w:rPr>
      </w:pPr>
      <w:r>
        <w:rPr>
          <w:rFonts w:hint="eastAsia" w:ascii="仿宋" w:hAnsi="仿宋" w:eastAsia="仿宋"/>
          <w:sz w:val="32"/>
          <w:szCs w:val="32"/>
        </w:rPr>
        <w:t>6.卫生健康支出（类）行政事业单位医疗（款）事业单位医疗（项）预算数为</w:t>
      </w:r>
      <w:r>
        <w:rPr>
          <w:rFonts w:hint="eastAsia" w:ascii="仿宋" w:hAnsi="仿宋" w:eastAsia="仿宋"/>
          <w:sz w:val="32"/>
          <w:szCs w:val="32"/>
          <w:u w:val="single"/>
        </w:rPr>
        <w:t>13.15</w:t>
      </w:r>
      <w:r>
        <w:rPr>
          <w:rFonts w:hint="eastAsia" w:ascii="仿宋" w:hAnsi="仿宋" w:eastAsia="仿宋"/>
          <w:sz w:val="32"/>
          <w:szCs w:val="32"/>
        </w:rPr>
        <w:t>万元，比2024年执行数增加</w:t>
      </w:r>
      <w:r>
        <w:rPr>
          <w:rFonts w:hint="eastAsia" w:ascii="仿宋" w:hAnsi="仿宋" w:eastAsia="仿宋"/>
          <w:sz w:val="32"/>
          <w:szCs w:val="32"/>
          <w:u w:val="single"/>
        </w:rPr>
        <w:t>13.15</w:t>
      </w:r>
      <w:r>
        <w:rPr>
          <w:rFonts w:hint="eastAsia" w:ascii="仿宋" w:hAnsi="仿宋" w:eastAsia="仿宋"/>
          <w:sz w:val="32"/>
          <w:szCs w:val="32"/>
        </w:rPr>
        <w:t>万元，增长100%。主要是上年使用卫生健康支出（类）财政对基本医疗保险基金的补助（款）财政对职工基本医疗保险基金的补助（项）科目核算，上年资金执行数11.39万元，增加1.76万元，增长13.38%，差异来源与人员变动及社保基数调整；</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800" w:firstLineChars="250"/>
        <w:rPr>
          <w:rFonts w:ascii="仿宋" w:hAnsi="仿宋" w:eastAsia="仿宋"/>
          <w:sz w:val="32"/>
          <w:szCs w:val="32"/>
        </w:rPr>
      </w:pPr>
      <w:r>
        <w:rPr>
          <w:rFonts w:hint="eastAsia" w:ascii="仿宋" w:hAnsi="仿宋" w:eastAsia="仿宋"/>
          <w:sz w:val="32"/>
          <w:szCs w:val="32"/>
        </w:rPr>
        <w:t>2025年一般公共预算基本支出265.87万元，其中：</w:t>
      </w:r>
    </w:p>
    <w:p>
      <w:pPr>
        <w:ind w:firstLine="640" w:firstLineChars="200"/>
        <w:rPr>
          <w:rFonts w:ascii="仿宋" w:hAnsi="仿宋" w:eastAsia="仿宋"/>
          <w:sz w:val="32"/>
          <w:szCs w:val="32"/>
        </w:rPr>
      </w:pPr>
      <w:r>
        <w:rPr>
          <w:rFonts w:hint="eastAsia" w:ascii="仿宋" w:hAnsi="仿宋" w:eastAsia="仿宋"/>
          <w:sz w:val="32"/>
          <w:szCs w:val="32"/>
        </w:rPr>
        <w:t>人员经费248.89万元，主要包括</w:t>
      </w:r>
      <w:r>
        <w:rPr>
          <w:rFonts w:ascii="仿宋" w:hAnsi="仿宋" w:eastAsia="仿宋"/>
          <w:sz w:val="32"/>
          <w:szCs w:val="32"/>
        </w:rPr>
        <w:t>工资性支出</w:t>
      </w:r>
      <w:r>
        <w:rPr>
          <w:rFonts w:hint="eastAsia" w:ascii="仿宋" w:hAnsi="仿宋" w:eastAsia="仿宋"/>
          <w:sz w:val="32"/>
          <w:szCs w:val="32"/>
        </w:rPr>
        <w:t>（基本工资28.99万元、津贴补贴126.82万元、奖金12.98万元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28.65万元、</w:t>
      </w:r>
      <w:r>
        <w:rPr>
          <w:rFonts w:ascii="仿宋" w:hAnsi="仿宋" w:eastAsia="仿宋"/>
          <w:sz w:val="32"/>
          <w:szCs w:val="32"/>
        </w:rPr>
        <w:t>城镇职工基本医疗保险缴费</w:t>
      </w:r>
      <w:r>
        <w:rPr>
          <w:rFonts w:hint="eastAsia" w:ascii="仿宋" w:hAnsi="仿宋" w:eastAsia="仿宋"/>
          <w:sz w:val="32"/>
          <w:szCs w:val="32"/>
        </w:rPr>
        <w:t>13.15万元、</w:t>
      </w:r>
      <w:r>
        <w:rPr>
          <w:rFonts w:ascii="仿宋" w:hAnsi="仿宋" w:eastAsia="仿宋"/>
          <w:sz w:val="32"/>
          <w:szCs w:val="32"/>
        </w:rPr>
        <w:t>公务员医疗补助</w:t>
      </w:r>
      <w:r>
        <w:rPr>
          <w:rFonts w:hint="eastAsia" w:ascii="仿宋" w:hAnsi="仿宋" w:eastAsia="仿宋"/>
          <w:sz w:val="32"/>
          <w:szCs w:val="32"/>
        </w:rPr>
        <w:t>3.41万元、</w:t>
      </w:r>
      <w:r>
        <w:rPr>
          <w:rFonts w:ascii="仿宋" w:hAnsi="仿宋" w:eastAsia="仿宋"/>
          <w:sz w:val="32"/>
          <w:szCs w:val="32"/>
        </w:rPr>
        <w:t>其他社会保险缴费</w:t>
      </w:r>
      <w:r>
        <w:rPr>
          <w:rFonts w:hint="eastAsia" w:ascii="仿宋" w:hAnsi="仿宋" w:eastAsia="仿宋"/>
          <w:sz w:val="32"/>
          <w:szCs w:val="32"/>
        </w:rPr>
        <w:t>1.07万元、</w:t>
      </w:r>
      <w:r>
        <w:rPr>
          <w:rFonts w:ascii="仿宋" w:hAnsi="仿宋" w:eastAsia="仿宋"/>
          <w:sz w:val="32"/>
          <w:szCs w:val="32"/>
        </w:rPr>
        <w:t>其他工资福利支出</w:t>
      </w:r>
      <w:r>
        <w:rPr>
          <w:rFonts w:hint="eastAsia" w:ascii="仿宋" w:hAnsi="仿宋" w:eastAsia="仿宋"/>
          <w:sz w:val="32"/>
          <w:szCs w:val="32"/>
        </w:rPr>
        <w:t>13.33万元、、</w:t>
      </w:r>
      <w:r>
        <w:rPr>
          <w:rFonts w:ascii="仿宋" w:hAnsi="仿宋" w:eastAsia="仿宋"/>
          <w:sz w:val="32"/>
          <w:szCs w:val="32"/>
        </w:rPr>
        <w:t>住房公积金</w:t>
      </w:r>
      <w:r>
        <w:rPr>
          <w:rFonts w:hint="eastAsia" w:ascii="仿宋" w:hAnsi="仿宋" w:eastAsia="仿宋"/>
          <w:sz w:val="32"/>
          <w:szCs w:val="32"/>
        </w:rPr>
        <w:t>20.49万元。</w:t>
      </w:r>
    </w:p>
    <w:p>
      <w:pPr>
        <w:ind w:firstLine="640" w:firstLineChars="200"/>
        <w:rPr>
          <w:rFonts w:ascii="仿宋" w:hAnsi="仿宋" w:eastAsia="仿宋"/>
          <w:sz w:val="32"/>
          <w:szCs w:val="32"/>
        </w:rPr>
      </w:pPr>
      <w:r>
        <w:rPr>
          <w:rFonts w:hint="eastAsia" w:ascii="仿宋" w:hAnsi="仿宋" w:eastAsia="仿宋"/>
          <w:sz w:val="32"/>
          <w:szCs w:val="32"/>
        </w:rPr>
        <w:t>公用经费16.98万元，主要包括主要包括：（</w:t>
      </w:r>
      <w:r>
        <w:rPr>
          <w:rFonts w:ascii="仿宋" w:hAnsi="仿宋" w:eastAsia="仿宋"/>
          <w:sz w:val="32"/>
          <w:szCs w:val="32"/>
        </w:rPr>
        <w:t>办公费</w:t>
      </w:r>
      <w:r>
        <w:rPr>
          <w:rFonts w:hint="eastAsia" w:ascii="仿宋" w:hAnsi="仿宋" w:eastAsia="仿宋"/>
          <w:sz w:val="32"/>
          <w:szCs w:val="32"/>
        </w:rPr>
        <w:t>3.00万元、</w:t>
      </w:r>
      <w:r>
        <w:rPr>
          <w:rFonts w:ascii="仿宋" w:hAnsi="仿宋" w:eastAsia="仿宋"/>
          <w:sz w:val="32"/>
          <w:szCs w:val="32"/>
        </w:rPr>
        <w:t>印刷费</w:t>
      </w:r>
      <w:r>
        <w:rPr>
          <w:rFonts w:hint="eastAsia" w:ascii="仿宋" w:hAnsi="仿宋" w:eastAsia="仿宋"/>
          <w:sz w:val="32"/>
          <w:szCs w:val="32"/>
        </w:rPr>
        <w:t>0.30万元、</w:t>
      </w:r>
      <w:r>
        <w:rPr>
          <w:rFonts w:ascii="仿宋" w:hAnsi="仿宋" w:eastAsia="仿宋"/>
          <w:sz w:val="32"/>
          <w:szCs w:val="32"/>
        </w:rPr>
        <w:t>电费</w:t>
      </w:r>
      <w:r>
        <w:rPr>
          <w:rFonts w:hint="eastAsia" w:ascii="仿宋" w:hAnsi="仿宋" w:eastAsia="仿宋"/>
          <w:sz w:val="32"/>
          <w:szCs w:val="32"/>
        </w:rPr>
        <w:t>1.50万元、</w:t>
      </w:r>
      <w:r>
        <w:rPr>
          <w:rFonts w:ascii="仿宋" w:hAnsi="仿宋" w:eastAsia="仿宋"/>
          <w:sz w:val="32"/>
          <w:szCs w:val="32"/>
        </w:rPr>
        <w:t>邮电费</w:t>
      </w:r>
      <w:r>
        <w:rPr>
          <w:rFonts w:hint="eastAsia" w:ascii="仿宋" w:hAnsi="仿宋" w:eastAsia="仿宋"/>
          <w:sz w:val="32"/>
          <w:szCs w:val="32"/>
        </w:rPr>
        <w:t>1.30万元、</w:t>
      </w:r>
      <w:r>
        <w:rPr>
          <w:rFonts w:ascii="仿宋" w:hAnsi="仿宋" w:eastAsia="仿宋"/>
          <w:sz w:val="32"/>
          <w:szCs w:val="32"/>
        </w:rPr>
        <w:t>专用材料费</w:t>
      </w:r>
      <w:r>
        <w:rPr>
          <w:rFonts w:hint="eastAsia" w:ascii="仿宋" w:hAnsi="仿宋" w:eastAsia="仿宋"/>
          <w:sz w:val="32"/>
          <w:szCs w:val="32"/>
        </w:rPr>
        <w:t>2.00万元、维修护费1.00万元、</w:t>
      </w:r>
      <w:r>
        <w:rPr>
          <w:rFonts w:ascii="仿宋" w:hAnsi="仿宋" w:eastAsia="仿宋"/>
          <w:sz w:val="32"/>
          <w:szCs w:val="32"/>
        </w:rPr>
        <w:t>劳务费</w:t>
      </w:r>
      <w:r>
        <w:rPr>
          <w:rFonts w:hint="eastAsia" w:ascii="仿宋" w:hAnsi="仿宋" w:eastAsia="仿宋"/>
          <w:sz w:val="32"/>
          <w:szCs w:val="32"/>
        </w:rPr>
        <w:t>1.30万元、</w:t>
      </w:r>
      <w:r>
        <w:rPr>
          <w:rFonts w:ascii="仿宋" w:hAnsi="仿宋" w:eastAsia="仿宋"/>
          <w:sz w:val="32"/>
          <w:szCs w:val="32"/>
        </w:rPr>
        <w:t>福利费</w:t>
      </w:r>
      <w:r>
        <w:rPr>
          <w:rFonts w:hint="eastAsia" w:ascii="仿宋" w:hAnsi="仿宋" w:eastAsia="仿宋"/>
          <w:sz w:val="32"/>
          <w:szCs w:val="32"/>
        </w:rPr>
        <w:t>0.05万元、</w:t>
      </w:r>
      <w:r>
        <w:rPr>
          <w:rFonts w:ascii="仿宋" w:hAnsi="仿宋" w:eastAsia="仿宋"/>
          <w:sz w:val="32"/>
          <w:szCs w:val="32"/>
        </w:rPr>
        <w:t>公务用车运行维护费</w:t>
      </w:r>
      <w:r>
        <w:rPr>
          <w:rFonts w:hint="eastAsia" w:ascii="仿宋" w:hAnsi="仿宋" w:eastAsia="仿宋"/>
          <w:sz w:val="32"/>
          <w:szCs w:val="32"/>
        </w:rPr>
        <w:t>1.04万元、</w:t>
      </w:r>
      <w:r>
        <w:rPr>
          <w:rFonts w:ascii="仿宋" w:hAnsi="仿宋" w:eastAsia="仿宋"/>
          <w:sz w:val="32"/>
          <w:szCs w:val="32"/>
        </w:rPr>
        <w:t>其他商品和服务支出</w:t>
      </w:r>
      <w:r>
        <w:rPr>
          <w:rFonts w:hint="eastAsia" w:ascii="仿宋" w:hAnsi="仿宋" w:eastAsia="仿宋"/>
          <w:sz w:val="32"/>
          <w:szCs w:val="32"/>
        </w:rPr>
        <w:t>2.01万元、</w:t>
      </w:r>
      <w:r>
        <w:rPr>
          <w:rFonts w:ascii="仿宋" w:hAnsi="仿宋" w:eastAsia="仿宋"/>
          <w:sz w:val="32"/>
          <w:szCs w:val="32"/>
        </w:rPr>
        <w:t>工会经费</w:t>
      </w:r>
      <w:r>
        <w:rPr>
          <w:rFonts w:hint="eastAsia" w:ascii="仿宋" w:hAnsi="仿宋" w:eastAsia="仿宋"/>
          <w:sz w:val="32"/>
          <w:szCs w:val="32"/>
        </w:rPr>
        <w:t>3.48万元。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2025年“三公”经费预算数为万元，其中：因公出国（境）费万元，公务用车购置</w:t>
      </w:r>
      <w:r>
        <w:rPr>
          <w:rFonts w:hint="eastAsia" w:ascii="仿宋" w:hAnsi="仿宋" w:eastAsia="仿宋"/>
          <w:sz w:val="32"/>
          <w:szCs w:val="32"/>
          <w:u w:val="single"/>
        </w:rPr>
        <w:t>1.04万元</w:t>
      </w:r>
      <w:r>
        <w:rPr>
          <w:rFonts w:ascii="仿宋" w:hAnsi="仿宋" w:eastAsia="仿宋"/>
          <w:sz w:val="32"/>
          <w:szCs w:val="32"/>
        </w:rPr>
        <w:t>，公车</w:t>
      </w:r>
      <w:r>
        <w:rPr>
          <w:rFonts w:hint="eastAsia" w:ascii="仿宋" w:hAnsi="仿宋" w:eastAsia="仿宋"/>
          <w:sz w:val="32"/>
          <w:szCs w:val="32"/>
        </w:rPr>
        <w:t>运行费1.04万元，公务接待费万元。“三公”经费预算比2024年减少2.1万元2.02%，主要原因是单位公务用车运行维护费减少。</w:t>
      </w:r>
    </w:p>
    <w:p>
      <w:pPr>
        <w:ind w:firstLine="640" w:firstLineChars="200"/>
        <w:rPr>
          <w:rFonts w:ascii="仿宋" w:hAnsi="仿宋" w:eastAsia="仿宋"/>
          <w:sz w:val="32"/>
          <w:szCs w:val="32"/>
        </w:rPr>
      </w:pPr>
      <w:r>
        <w:rPr>
          <w:rFonts w:hint="eastAsia" w:ascii="仿宋" w:hAnsi="仿宋" w:eastAsia="仿宋"/>
          <w:sz w:val="32"/>
          <w:szCs w:val="32"/>
        </w:rPr>
        <w:t>2025年因公出国（境）0个团组、0人，公务用车购置</w:t>
      </w:r>
      <w:r>
        <w:rPr>
          <w:rFonts w:hint="eastAsia" w:ascii="仿宋" w:hAnsi="仿宋" w:eastAsia="仿宋"/>
          <w:sz w:val="32"/>
          <w:szCs w:val="32"/>
          <w:lang w:val="en-US" w:eastAsia="zh-CN"/>
        </w:rPr>
        <w:t>0</w:t>
      </w:r>
      <w:r>
        <w:rPr>
          <w:rFonts w:hint="eastAsia" w:ascii="仿宋" w:hAnsi="仿宋" w:eastAsia="仿宋"/>
          <w:sz w:val="32"/>
          <w:szCs w:val="32"/>
        </w:rPr>
        <w:t>辆、</w:t>
      </w:r>
      <w:r>
        <w:rPr>
          <w:rFonts w:hint="eastAsia" w:ascii="仿宋" w:hAnsi="仿宋" w:eastAsia="仿宋"/>
          <w:sz w:val="32"/>
          <w:szCs w:val="32"/>
          <w:lang w:eastAsia="zh-CN"/>
        </w:rPr>
        <w:t>保有</w:t>
      </w:r>
      <w:r>
        <w:rPr>
          <w:rFonts w:hint="eastAsia" w:ascii="仿宋" w:hAnsi="仿宋" w:eastAsia="仿宋"/>
          <w:sz w:val="32"/>
          <w:szCs w:val="32"/>
          <w:lang w:val="en-US" w:eastAsia="zh-CN"/>
        </w:rPr>
        <w:t>1</w:t>
      </w:r>
      <w:r>
        <w:rPr>
          <w:rFonts w:hint="eastAsia" w:ascii="仿宋" w:hAnsi="仿宋" w:eastAsia="仿宋"/>
          <w:sz w:val="32"/>
          <w:szCs w:val="32"/>
          <w:lang w:eastAsia="zh-CN"/>
        </w:rPr>
        <w:t>辆</w:t>
      </w:r>
      <w:r>
        <w:rPr>
          <w:rFonts w:hint="eastAsia" w:ascii="仿宋" w:hAnsi="仿宋" w:eastAsia="仿宋"/>
          <w:sz w:val="32"/>
          <w:szCs w:val="32"/>
        </w:rPr>
        <w:t>，国内公务接0待批次、0人。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我单位2025年度没有政府性基金安排的支出。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我单位2025年度没有政府性基金安排的支出。</w:t>
      </w:r>
    </w:p>
    <w:p>
      <w:pPr>
        <w:ind w:firstLine="640" w:firstLineChars="200"/>
        <w:rPr>
          <w:rFonts w:asci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2025年单位工布江达县县仲莎卫生院卫生院等1家参公管理事业单位的机关运行经费财政拨款预算16.98，比2024年预算（增加</w:t>
      </w:r>
      <w:r>
        <w:rPr>
          <w:rFonts w:ascii="仿宋" w:hAnsi="仿宋" w:eastAsia="仿宋"/>
          <w:sz w:val="32"/>
          <w:szCs w:val="32"/>
        </w:rPr>
        <w:t>）</w:t>
      </w:r>
      <w:r>
        <w:rPr>
          <w:rFonts w:hint="eastAsia" w:ascii="仿宋" w:hAnsi="仿宋" w:eastAsia="仿宋"/>
          <w:sz w:val="32"/>
          <w:szCs w:val="32"/>
        </w:rPr>
        <w:t>1.96万元，增长11.54</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人员增加，机关运行经费增加</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2025年本</w:t>
      </w:r>
      <w:r>
        <w:rPr>
          <w:rFonts w:ascii="仿宋" w:hAnsi="仿宋" w:eastAsia="仿宋"/>
          <w:sz w:val="32"/>
          <w:szCs w:val="32"/>
        </w:rPr>
        <w:t>部门及</w:t>
      </w:r>
      <w:r>
        <w:rPr>
          <w:rFonts w:hint="eastAsia" w:ascii="仿宋" w:hAnsi="仿宋" w:eastAsia="仿宋"/>
          <w:sz w:val="32"/>
          <w:szCs w:val="32"/>
        </w:rPr>
        <w:t>所属各预算单位政府采购预算总额0</w:t>
      </w:r>
      <w:bookmarkStart w:id="0" w:name="_GoBack"/>
      <w:bookmarkEnd w:id="0"/>
      <w:r>
        <w:rPr>
          <w:rFonts w:hint="eastAsia" w:ascii="仿宋" w:hAnsi="仿宋" w:eastAsia="仿宋"/>
          <w:sz w:val="32"/>
          <w:szCs w:val="32"/>
        </w:rPr>
        <w:t>万元，其中：政府采购货物预算0万元、政府采购工程预算0万元、政府采购服务预算0万元。</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截至2025年月底，本</w:t>
      </w:r>
      <w:r>
        <w:rPr>
          <w:rFonts w:ascii="仿宋" w:hAnsi="仿宋" w:eastAsia="仿宋"/>
          <w:sz w:val="32"/>
          <w:szCs w:val="32"/>
        </w:rPr>
        <w:t>部门</w:t>
      </w:r>
      <w:r>
        <w:rPr>
          <w:rFonts w:hint="eastAsia" w:ascii="仿宋" w:hAnsi="仿宋" w:eastAsia="仿宋"/>
          <w:sz w:val="32"/>
          <w:szCs w:val="32"/>
        </w:rPr>
        <w:t>及所属各预算单位共有1车辆辆，其中，领导干部用车（含在职和离退休部级干部用车）</w:t>
      </w:r>
      <w:r>
        <w:rPr>
          <w:rFonts w:hint="eastAsia" w:ascii="仿宋" w:hAnsi="仿宋" w:eastAsia="仿宋" w:cs="Times New Roman"/>
          <w:sz w:val="32"/>
          <w:szCs w:val="32"/>
          <w:lang w:val="en-US" w:eastAsia="zh-CN"/>
        </w:rPr>
        <w:t>0</w:t>
      </w:r>
      <w:r>
        <w:rPr>
          <w:rFonts w:hint="eastAsia" w:ascii="仿宋" w:hAnsi="仿宋" w:eastAsia="仿宋"/>
          <w:sz w:val="32"/>
          <w:szCs w:val="32"/>
        </w:rPr>
        <w:t>辆、机要通信用0车辆、应急保障用0车辆、执法执勤用0车辆、特种专业技术用</w:t>
      </w:r>
      <w:r>
        <w:rPr>
          <w:rFonts w:hint="eastAsia" w:ascii="仿宋" w:hAnsi="仿宋" w:eastAsia="仿宋"/>
          <w:sz w:val="32"/>
          <w:szCs w:val="32"/>
          <w:lang w:val="en-US" w:eastAsia="zh-CN"/>
        </w:rPr>
        <w:t>1</w:t>
      </w:r>
      <w:r>
        <w:rPr>
          <w:rFonts w:hint="eastAsia" w:ascii="仿宋" w:hAnsi="仿宋" w:eastAsia="仿宋"/>
          <w:sz w:val="32"/>
          <w:szCs w:val="32"/>
        </w:rPr>
        <w:t>车辆、其他用</w:t>
      </w:r>
      <w:r>
        <w:rPr>
          <w:rFonts w:hint="eastAsia" w:ascii="仿宋" w:hAnsi="仿宋" w:eastAsia="仿宋"/>
          <w:sz w:val="32"/>
          <w:szCs w:val="32"/>
          <w:lang w:val="en-US" w:eastAsia="zh-CN"/>
        </w:rPr>
        <w:t>0</w:t>
      </w:r>
      <w:r>
        <w:rPr>
          <w:rFonts w:hint="eastAsia" w:ascii="仿宋" w:hAnsi="仿宋" w:eastAsia="仿宋"/>
          <w:sz w:val="32"/>
          <w:szCs w:val="32"/>
        </w:rPr>
        <w:t>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 w:hAnsi="仿宋" w:eastAsia="仿宋"/>
          <w:sz w:val="32"/>
          <w:szCs w:val="32"/>
          <w:lang w:val="en-US" w:eastAsia="zh-CN"/>
        </w:rPr>
        <w:t>0</w:t>
      </w:r>
      <w:r>
        <w:rPr>
          <w:rFonts w:hint="eastAsia" w:ascii="仿宋" w:hAnsi="仿宋" w:eastAsia="仿宋"/>
          <w:sz w:val="32"/>
          <w:szCs w:val="32"/>
        </w:rPr>
        <w:t>台（套），单位价值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 w:hAnsi="仿宋" w:eastAsia="仿宋"/>
          <w:sz w:val="32"/>
          <w:szCs w:val="32"/>
          <w:lang w:val="en-US" w:eastAsia="zh-CN"/>
        </w:rPr>
        <w:t>0</w:t>
      </w:r>
      <w:r>
        <w:rPr>
          <w:rFonts w:hint="eastAsia" w:ascii="仿宋" w:hAnsi="仿宋" w:eastAsia="仿宋"/>
          <w:sz w:val="32"/>
          <w:szCs w:val="32"/>
        </w:rPr>
        <w:t>台（套）。</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（四）2025年预算绩效情况说明。</w:t>
      </w:r>
    </w:p>
    <w:p>
      <w:pPr>
        <w:spacing w:line="588"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2025年实现财政支出绩效目标管理全覆盖，实行绩效目标管理10个，资金270.31万元，其中：中央转移支付资金0万元，地方资金0万元。</w:t>
      </w:r>
    </w:p>
    <w:p>
      <w:pPr>
        <w:ind w:firstLine="640" w:firstLineChars="200"/>
        <w:jc w:val="left"/>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我单位2025年度没有扶贫资金安排的支出</w:t>
      </w:r>
    </w:p>
    <w:p>
      <w:pPr>
        <w:numPr>
          <w:ilvl w:val="0"/>
          <w:numId w:val="1"/>
        </w:numPr>
        <w:ind w:left="1118" w:leftChars="304" w:hanging="480" w:hangingChars="150"/>
        <w:jc w:val="left"/>
        <w:rPr>
          <w:rFonts w:hint="eastAsia" w:ascii="楷体" w:hAnsi="楷体" w:eastAsia="楷体"/>
          <w:sz w:val="32"/>
          <w:szCs w:val="32"/>
        </w:rPr>
      </w:pPr>
      <w:r>
        <w:rPr>
          <w:rFonts w:hint="eastAsia" w:ascii="楷体" w:hAnsi="楷体" w:eastAsia="楷体"/>
          <w:sz w:val="32"/>
          <w:szCs w:val="32"/>
        </w:rPr>
        <w:t>政府债务情况。</w:t>
      </w:r>
    </w:p>
    <w:p>
      <w:pPr>
        <w:ind w:firstLine="640" w:firstLineChars="200"/>
        <w:rPr>
          <w:rFonts w:hint="eastAsia" w:ascii="仿宋" w:hAnsi="仿宋" w:eastAsia="仿宋"/>
          <w:sz w:val="32"/>
          <w:szCs w:val="32"/>
        </w:rPr>
      </w:pPr>
      <w:r>
        <w:rPr>
          <w:rFonts w:hint="eastAsia" w:ascii="仿宋" w:hAnsi="仿宋" w:eastAsia="仿宋"/>
          <w:sz w:val="32"/>
          <w:szCs w:val="32"/>
        </w:rPr>
        <w:t>我单位2025年度无此项资金</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ind w:firstLine="640" w:firstLineChars="200"/>
        <w:rPr>
          <w:rFonts w:ascii="仿宋" w:hAnsi="仿宋" w:eastAsia="仿宋"/>
          <w:sz w:val="32"/>
          <w:szCs w:val="32"/>
        </w:rPr>
      </w:pPr>
      <w:r>
        <w:rPr>
          <w:rFonts w:hint="eastAsia" w:ascii="黑体" w:hAnsi="黑体" w:eastAsia="黑体"/>
          <w:sz w:val="32"/>
          <w:szCs w:val="32"/>
        </w:rPr>
        <w:t>三、事业单位经营收入：</w:t>
      </w:r>
      <w:r>
        <w:rPr>
          <w:rFonts w:hint="eastAsia" w:ascii="仿宋" w:hAnsi="仿宋" w:eastAsia="仿宋"/>
          <w:sz w:val="32"/>
          <w:szCs w:val="32"/>
        </w:rPr>
        <w:t>指事业单位在专业业务活动及其辅助活动之外开展非独立核算经营活动取得的收入。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ascii="黑体" w:hAnsi="黑体" w:eastAsia="黑体"/>
          <w:sz w:val="32"/>
          <w:szCs w:val="32"/>
        </w:rPr>
        <w:t>五</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rPr>
        <w:t>六、上年结转：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ascii="黑体" w:hAnsi="黑体" w:eastAsia="黑体"/>
          <w:sz w:val="32"/>
          <w:szCs w:val="32"/>
        </w:rPr>
        <w:t>八、基本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事业单位经营支出：</w:t>
      </w:r>
      <w:r>
        <w:rPr>
          <w:rFonts w:hint="eastAsia" w:ascii="仿宋" w:hAnsi="仿宋" w:eastAsia="仿宋"/>
          <w:sz w:val="32"/>
          <w:szCs w:val="32"/>
        </w:rPr>
        <w:t>指事业单位在专业业务活动及其辅助活动之外开展非独立核算经营活动发生的支出。</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797" w:bottom="1440" w:left="179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MS Mincho">
    <w:panose1 w:val="02020609040205080304"/>
    <w:charset w:val="80"/>
    <w:family w:val="modern"/>
    <w:pitch w:val="default"/>
    <w:sig w:usb0="E00002FF" w:usb1="6AC7FDFB" w:usb2="00000012" w:usb3="00000000" w:csb0="4002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- 12 -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5FF56FE"/>
    <w:multiLevelType w:val="singleLevel"/>
    <w:tmpl w:val="C5FF56FE"/>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U4NzFiODJmM2I1NmVhMzZjYjdkMWNlMDAyYTY4NWQifQ=="/>
  </w:docVars>
  <w:rsids>
    <w:rsidRoot w:val="00643004"/>
    <w:rsid w:val="00002E7E"/>
    <w:rsid w:val="00006EF3"/>
    <w:rsid w:val="00010911"/>
    <w:rsid w:val="0001296C"/>
    <w:rsid w:val="00015A4C"/>
    <w:rsid w:val="000214DB"/>
    <w:rsid w:val="00023250"/>
    <w:rsid w:val="000236C1"/>
    <w:rsid w:val="00025C9A"/>
    <w:rsid w:val="000336AD"/>
    <w:rsid w:val="00035AF7"/>
    <w:rsid w:val="00041C59"/>
    <w:rsid w:val="00043A5F"/>
    <w:rsid w:val="00043AA8"/>
    <w:rsid w:val="00074F66"/>
    <w:rsid w:val="00086B54"/>
    <w:rsid w:val="00086C47"/>
    <w:rsid w:val="000918C4"/>
    <w:rsid w:val="000941A1"/>
    <w:rsid w:val="000944A2"/>
    <w:rsid w:val="00096F91"/>
    <w:rsid w:val="000A0C03"/>
    <w:rsid w:val="000A1AFA"/>
    <w:rsid w:val="000A2246"/>
    <w:rsid w:val="000A6427"/>
    <w:rsid w:val="000A7168"/>
    <w:rsid w:val="000A7A82"/>
    <w:rsid w:val="000B07BA"/>
    <w:rsid w:val="000B3777"/>
    <w:rsid w:val="000C2A4A"/>
    <w:rsid w:val="000D0490"/>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55BD"/>
    <w:rsid w:val="00135B3E"/>
    <w:rsid w:val="00136674"/>
    <w:rsid w:val="00137481"/>
    <w:rsid w:val="00150B26"/>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5D30"/>
    <w:rsid w:val="00197162"/>
    <w:rsid w:val="001A1066"/>
    <w:rsid w:val="001A47B8"/>
    <w:rsid w:val="001A6CD9"/>
    <w:rsid w:val="001B4F21"/>
    <w:rsid w:val="001B559C"/>
    <w:rsid w:val="001B7C2E"/>
    <w:rsid w:val="001C28B7"/>
    <w:rsid w:val="001C4EB7"/>
    <w:rsid w:val="001D4B83"/>
    <w:rsid w:val="001D4CD1"/>
    <w:rsid w:val="001D5722"/>
    <w:rsid w:val="001E004F"/>
    <w:rsid w:val="001E25E8"/>
    <w:rsid w:val="001E3CF8"/>
    <w:rsid w:val="001E413D"/>
    <w:rsid w:val="001E6F8F"/>
    <w:rsid w:val="001F031E"/>
    <w:rsid w:val="001F11F7"/>
    <w:rsid w:val="001F52BE"/>
    <w:rsid w:val="001F5E8D"/>
    <w:rsid w:val="001F781B"/>
    <w:rsid w:val="00211391"/>
    <w:rsid w:val="00213708"/>
    <w:rsid w:val="00220581"/>
    <w:rsid w:val="00230405"/>
    <w:rsid w:val="0023600C"/>
    <w:rsid w:val="00240E83"/>
    <w:rsid w:val="00241BD2"/>
    <w:rsid w:val="00244B1F"/>
    <w:rsid w:val="00245579"/>
    <w:rsid w:val="00245677"/>
    <w:rsid w:val="00255CD4"/>
    <w:rsid w:val="00266E39"/>
    <w:rsid w:val="002671DE"/>
    <w:rsid w:val="00275772"/>
    <w:rsid w:val="00285201"/>
    <w:rsid w:val="00285B92"/>
    <w:rsid w:val="002879D0"/>
    <w:rsid w:val="002A4CB5"/>
    <w:rsid w:val="002A5EFE"/>
    <w:rsid w:val="002A7B03"/>
    <w:rsid w:val="002B4B50"/>
    <w:rsid w:val="002B562B"/>
    <w:rsid w:val="002B6316"/>
    <w:rsid w:val="002B69B2"/>
    <w:rsid w:val="002C1CA1"/>
    <w:rsid w:val="002C584A"/>
    <w:rsid w:val="002D2BEB"/>
    <w:rsid w:val="002E550F"/>
    <w:rsid w:val="002E7C5B"/>
    <w:rsid w:val="002F287A"/>
    <w:rsid w:val="002F4548"/>
    <w:rsid w:val="002F66C9"/>
    <w:rsid w:val="00300D1F"/>
    <w:rsid w:val="00303F2A"/>
    <w:rsid w:val="003113A0"/>
    <w:rsid w:val="0031342C"/>
    <w:rsid w:val="003139C9"/>
    <w:rsid w:val="003174DD"/>
    <w:rsid w:val="00320CAC"/>
    <w:rsid w:val="00322979"/>
    <w:rsid w:val="00323C72"/>
    <w:rsid w:val="00333A6C"/>
    <w:rsid w:val="003341B0"/>
    <w:rsid w:val="00334FF8"/>
    <w:rsid w:val="0033636F"/>
    <w:rsid w:val="00337B27"/>
    <w:rsid w:val="00342D59"/>
    <w:rsid w:val="00343F94"/>
    <w:rsid w:val="00352C1E"/>
    <w:rsid w:val="00356B96"/>
    <w:rsid w:val="00362AE7"/>
    <w:rsid w:val="003646E6"/>
    <w:rsid w:val="00364997"/>
    <w:rsid w:val="00367FB6"/>
    <w:rsid w:val="00371B62"/>
    <w:rsid w:val="00371BC9"/>
    <w:rsid w:val="003745F0"/>
    <w:rsid w:val="00374773"/>
    <w:rsid w:val="00375919"/>
    <w:rsid w:val="003767F7"/>
    <w:rsid w:val="00377555"/>
    <w:rsid w:val="00394875"/>
    <w:rsid w:val="003A06BA"/>
    <w:rsid w:val="003A4455"/>
    <w:rsid w:val="003A4970"/>
    <w:rsid w:val="003A49FE"/>
    <w:rsid w:val="003B0B65"/>
    <w:rsid w:val="003B4A86"/>
    <w:rsid w:val="003B67E7"/>
    <w:rsid w:val="003C07B1"/>
    <w:rsid w:val="003C573F"/>
    <w:rsid w:val="003D11EF"/>
    <w:rsid w:val="003D3D32"/>
    <w:rsid w:val="003D653E"/>
    <w:rsid w:val="003E0C9D"/>
    <w:rsid w:val="003E10EF"/>
    <w:rsid w:val="003E21A4"/>
    <w:rsid w:val="003E2D5B"/>
    <w:rsid w:val="003E3EA4"/>
    <w:rsid w:val="003E4751"/>
    <w:rsid w:val="003E55B7"/>
    <w:rsid w:val="003F77CF"/>
    <w:rsid w:val="004121B5"/>
    <w:rsid w:val="00415F58"/>
    <w:rsid w:val="00422517"/>
    <w:rsid w:val="0042253D"/>
    <w:rsid w:val="00435712"/>
    <w:rsid w:val="00454DC4"/>
    <w:rsid w:val="00455E27"/>
    <w:rsid w:val="004573CF"/>
    <w:rsid w:val="004624B8"/>
    <w:rsid w:val="00462D5F"/>
    <w:rsid w:val="00462D86"/>
    <w:rsid w:val="00473918"/>
    <w:rsid w:val="004773FB"/>
    <w:rsid w:val="004801C5"/>
    <w:rsid w:val="00480381"/>
    <w:rsid w:val="00482F35"/>
    <w:rsid w:val="004868BD"/>
    <w:rsid w:val="00490C1D"/>
    <w:rsid w:val="0049189E"/>
    <w:rsid w:val="00491D87"/>
    <w:rsid w:val="0049365E"/>
    <w:rsid w:val="00496349"/>
    <w:rsid w:val="00496574"/>
    <w:rsid w:val="0049686F"/>
    <w:rsid w:val="004970A2"/>
    <w:rsid w:val="004B2F0A"/>
    <w:rsid w:val="004B3A8F"/>
    <w:rsid w:val="004B511C"/>
    <w:rsid w:val="004B6ACB"/>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E6152"/>
    <w:rsid w:val="004E76D3"/>
    <w:rsid w:val="004F0973"/>
    <w:rsid w:val="004F5B39"/>
    <w:rsid w:val="00504EA1"/>
    <w:rsid w:val="005072BE"/>
    <w:rsid w:val="00510F60"/>
    <w:rsid w:val="00512DED"/>
    <w:rsid w:val="00514998"/>
    <w:rsid w:val="005157DE"/>
    <w:rsid w:val="00521271"/>
    <w:rsid w:val="005227B8"/>
    <w:rsid w:val="005238BE"/>
    <w:rsid w:val="005245FF"/>
    <w:rsid w:val="00532D4F"/>
    <w:rsid w:val="005424F8"/>
    <w:rsid w:val="00542D4C"/>
    <w:rsid w:val="00544C9F"/>
    <w:rsid w:val="005472B4"/>
    <w:rsid w:val="005505BF"/>
    <w:rsid w:val="00552117"/>
    <w:rsid w:val="005526AE"/>
    <w:rsid w:val="00552E0B"/>
    <w:rsid w:val="00553DC3"/>
    <w:rsid w:val="00553EE6"/>
    <w:rsid w:val="00556119"/>
    <w:rsid w:val="005575FB"/>
    <w:rsid w:val="0055760B"/>
    <w:rsid w:val="00557B0E"/>
    <w:rsid w:val="0056102B"/>
    <w:rsid w:val="00561279"/>
    <w:rsid w:val="00563ADF"/>
    <w:rsid w:val="0056413E"/>
    <w:rsid w:val="00567904"/>
    <w:rsid w:val="00570F81"/>
    <w:rsid w:val="00576C78"/>
    <w:rsid w:val="00577343"/>
    <w:rsid w:val="00583177"/>
    <w:rsid w:val="00587E83"/>
    <w:rsid w:val="00590253"/>
    <w:rsid w:val="00592413"/>
    <w:rsid w:val="00593341"/>
    <w:rsid w:val="00596436"/>
    <w:rsid w:val="0059715A"/>
    <w:rsid w:val="005A44A6"/>
    <w:rsid w:val="005A60B9"/>
    <w:rsid w:val="005A6DB9"/>
    <w:rsid w:val="005A70FA"/>
    <w:rsid w:val="005B264E"/>
    <w:rsid w:val="005B7595"/>
    <w:rsid w:val="005C302C"/>
    <w:rsid w:val="005C7D65"/>
    <w:rsid w:val="005D1BD7"/>
    <w:rsid w:val="005D584E"/>
    <w:rsid w:val="005E2CAE"/>
    <w:rsid w:val="005E5236"/>
    <w:rsid w:val="005F2417"/>
    <w:rsid w:val="005F2DA3"/>
    <w:rsid w:val="005F3A21"/>
    <w:rsid w:val="00600777"/>
    <w:rsid w:val="00601A37"/>
    <w:rsid w:val="00607942"/>
    <w:rsid w:val="00611104"/>
    <w:rsid w:val="00611AA9"/>
    <w:rsid w:val="00611B7F"/>
    <w:rsid w:val="006138C7"/>
    <w:rsid w:val="006171E3"/>
    <w:rsid w:val="0062483E"/>
    <w:rsid w:val="00633321"/>
    <w:rsid w:val="00635B45"/>
    <w:rsid w:val="00635B64"/>
    <w:rsid w:val="00635C2F"/>
    <w:rsid w:val="006404A2"/>
    <w:rsid w:val="00640514"/>
    <w:rsid w:val="00640E31"/>
    <w:rsid w:val="00641243"/>
    <w:rsid w:val="00643004"/>
    <w:rsid w:val="00653B9E"/>
    <w:rsid w:val="00657A06"/>
    <w:rsid w:val="006614C2"/>
    <w:rsid w:val="0066211D"/>
    <w:rsid w:val="0066339D"/>
    <w:rsid w:val="0066445E"/>
    <w:rsid w:val="006714D0"/>
    <w:rsid w:val="0067255B"/>
    <w:rsid w:val="00675F5F"/>
    <w:rsid w:val="006844C0"/>
    <w:rsid w:val="006846B3"/>
    <w:rsid w:val="00685356"/>
    <w:rsid w:val="00694510"/>
    <w:rsid w:val="00696AF3"/>
    <w:rsid w:val="006A296E"/>
    <w:rsid w:val="006A375F"/>
    <w:rsid w:val="006A3C69"/>
    <w:rsid w:val="006A402F"/>
    <w:rsid w:val="006A497D"/>
    <w:rsid w:val="006B047E"/>
    <w:rsid w:val="006B1FE1"/>
    <w:rsid w:val="006B41A1"/>
    <w:rsid w:val="006C0E7C"/>
    <w:rsid w:val="006C1BD6"/>
    <w:rsid w:val="006C4305"/>
    <w:rsid w:val="006C52B4"/>
    <w:rsid w:val="006C64DD"/>
    <w:rsid w:val="006D5592"/>
    <w:rsid w:val="006D7FC0"/>
    <w:rsid w:val="006E0352"/>
    <w:rsid w:val="006E11A0"/>
    <w:rsid w:val="006F0097"/>
    <w:rsid w:val="006F3C47"/>
    <w:rsid w:val="00700592"/>
    <w:rsid w:val="007069BE"/>
    <w:rsid w:val="00707C25"/>
    <w:rsid w:val="00712BAB"/>
    <w:rsid w:val="00721D2D"/>
    <w:rsid w:val="0072658A"/>
    <w:rsid w:val="007361E7"/>
    <w:rsid w:val="00737A27"/>
    <w:rsid w:val="007410E9"/>
    <w:rsid w:val="007455B0"/>
    <w:rsid w:val="007529D0"/>
    <w:rsid w:val="00753C16"/>
    <w:rsid w:val="00754712"/>
    <w:rsid w:val="00757D7E"/>
    <w:rsid w:val="00760DE4"/>
    <w:rsid w:val="00771198"/>
    <w:rsid w:val="007734E9"/>
    <w:rsid w:val="00774133"/>
    <w:rsid w:val="00775613"/>
    <w:rsid w:val="007821EB"/>
    <w:rsid w:val="00794480"/>
    <w:rsid w:val="007A00E8"/>
    <w:rsid w:val="007A6ED2"/>
    <w:rsid w:val="007B14E5"/>
    <w:rsid w:val="007C30B4"/>
    <w:rsid w:val="007C5A03"/>
    <w:rsid w:val="007C61F5"/>
    <w:rsid w:val="007D2ECF"/>
    <w:rsid w:val="007D40CB"/>
    <w:rsid w:val="007E02B9"/>
    <w:rsid w:val="007E53BB"/>
    <w:rsid w:val="007E5ABC"/>
    <w:rsid w:val="008001B3"/>
    <w:rsid w:val="0080401E"/>
    <w:rsid w:val="008049AB"/>
    <w:rsid w:val="00805C63"/>
    <w:rsid w:val="0081024E"/>
    <w:rsid w:val="00813A99"/>
    <w:rsid w:val="0082343A"/>
    <w:rsid w:val="0082450A"/>
    <w:rsid w:val="008314A5"/>
    <w:rsid w:val="008320D8"/>
    <w:rsid w:val="00834A32"/>
    <w:rsid w:val="00835E1D"/>
    <w:rsid w:val="00841B09"/>
    <w:rsid w:val="00845E25"/>
    <w:rsid w:val="008468ED"/>
    <w:rsid w:val="0085478E"/>
    <w:rsid w:val="008609A5"/>
    <w:rsid w:val="00860D3F"/>
    <w:rsid w:val="0086465E"/>
    <w:rsid w:val="00871235"/>
    <w:rsid w:val="00872677"/>
    <w:rsid w:val="00875CA7"/>
    <w:rsid w:val="00876743"/>
    <w:rsid w:val="008770A2"/>
    <w:rsid w:val="00885072"/>
    <w:rsid w:val="0088618E"/>
    <w:rsid w:val="00887790"/>
    <w:rsid w:val="00890723"/>
    <w:rsid w:val="008908C5"/>
    <w:rsid w:val="00894FB4"/>
    <w:rsid w:val="0089630C"/>
    <w:rsid w:val="008A086C"/>
    <w:rsid w:val="008A366F"/>
    <w:rsid w:val="008A6719"/>
    <w:rsid w:val="008B0E61"/>
    <w:rsid w:val="008B10E1"/>
    <w:rsid w:val="008B115D"/>
    <w:rsid w:val="008B30AE"/>
    <w:rsid w:val="008C000B"/>
    <w:rsid w:val="008C1F95"/>
    <w:rsid w:val="008C36B4"/>
    <w:rsid w:val="008C4359"/>
    <w:rsid w:val="008C5162"/>
    <w:rsid w:val="008C5164"/>
    <w:rsid w:val="008D39A8"/>
    <w:rsid w:val="008D7DFD"/>
    <w:rsid w:val="008E490F"/>
    <w:rsid w:val="008E6528"/>
    <w:rsid w:val="008F3713"/>
    <w:rsid w:val="008F37FF"/>
    <w:rsid w:val="008F4305"/>
    <w:rsid w:val="008F5023"/>
    <w:rsid w:val="008F5CAA"/>
    <w:rsid w:val="00905737"/>
    <w:rsid w:val="00906510"/>
    <w:rsid w:val="00924F3A"/>
    <w:rsid w:val="00931F10"/>
    <w:rsid w:val="009323D6"/>
    <w:rsid w:val="0093637E"/>
    <w:rsid w:val="00940DA3"/>
    <w:rsid w:val="00941729"/>
    <w:rsid w:val="0094548C"/>
    <w:rsid w:val="0095324A"/>
    <w:rsid w:val="00953C23"/>
    <w:rsid w:val="00956331"/>
    <w:rsid w:val="00956F40"/>
    <w:rsid w:val="0096127B"/>
    <w:rsid w:val="00965137"/>
    <w:rsid w:val="009664B4"/>
    <w:rsid w:val="009704B9"/>
    <w:rsid w:val="00971B05"/>
    <w:rsid w:val="009757BA"/>
    <w:rsid w:val="00993FAA"/>
    <w:rsid w:val="00993FFC"/>
    <w:rsid w:val="009960BA"/>
    <w:rsid w:val="00996A12"/>
    <w:rsid w:val="009A19F7"/>
    <w:rsid w:val="009A48EB"/>
    <w:rsid w:val="009A742B"/>
    <w:rsid w:val="009B17A6"/>
    <w:rsid w:val="009B2113"/>
    <w:rsid w:val="009B4B3E"/>
    <w:rsid w:val="009C0514"/>
    <w:rsid w:val="009C0986"/>
    <w:rsid w:val="009D0305"/>
    <w:rsid w:val="009D0EC6"/>
    <w:rsid w:val="009D330A"/>
    <w:rsid w:val="009D58A7"/>
    <w:rsid w:val="009E573B"/>
    <w:rsid w:val="009F12D1"/>
    <w:rsid w:val="009F41AA"/>
    <w:rsid w:val="009F421C"/>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43ECB"/>
    <w:rsid w:val="00A53E77"/>
    <w:rsid w:val="00A615F1"/>
    <w:rsid w:val="00A6219F"/>
    <w:rsid w:val="00A637E5"/>
    <w:rsid w:val="00A666BA"/>
    <w:rsid w:val="00A711D8"/>
    <w:rsid w:val="00A75D11"/>
    <w:rsid w:val="00A7760E"/>
    <w:rsid w:val="00A81865"/>
    <w:rsid w:val="00A825B5"/>
    <w:rsid w:val="00A83879"/>
    <w:rsid w:val="00A84180"/>
    <w:rsid w:val="00AB01BE"/>
    <w:rsid w:val="00AB39CC"/>
    <w:rsid w:val="00AB73B5"/>
    <w:rsid w:val="00AC02F9"/>
    <w:rsid w:val="00AC10C1"/>
    <w:rsid w:val="00AC1350"/>
    <w:rsid w:val="00AC2990"/>
    <w:rsid w:val="00AC49BA"/>
    <w:rsid w:val="00AD21B3"/>
    <w:rsid w:val="00AE0A57"/>
    <w:rsid w:val="00AE19F4"/>
    <w:rsid w:val="00AE24CD"/>
    <w:rsid w:val="00AE7030"/>
    <w:rsid w:val="00AE7046"/>
    <w:rsid w:val="00AF07AC"/>
    <w:rsid w:val="00AF0F73"/>
    <w:rsid w:val="00AF36C7"/>
    <w:rsid w:val="00B007C8"/>
    <w:rsid w:val="00B04F3B"/>
    <w:rsid w:val="00B05DB7"/>
    <w:rsid w:val="00B11044"/>
    <w:rsid w:val="00B21EE0"/>
    <w:rsid w:val="00B22D3D"/>
    <w:rsid w:val="00B23F7F"/>
    <w:rsid w:val="00B24606"/>
    <w:rsid w:val="00B24F80"/>
    <w:rsid w:val="00B25562"/>
    <w:rsid w:val="00B32D44"/>
    <w:rsid w:val="00B35094"/>
    <w:rsid w:val="00B46181"/>
    <w:rsid w:val="00B510ED"/>
    <w:rsid w:val="00B514B0"/>
    <w:rsid w:val="00B60721"/>
    <w:rsid w:val="00B6522F"/>
    <w:rsid w:val="00B67A9E"/>
    <w:rsid w:val="00B71AC6"/>
    <w:rsid w:val="00B74CCE"/>
    <w:rsid w:val="00B759F6"/>
    <w:rsid w:val="00B84681"/>
    <w:rsid w:val="00B90F50"/>
    <w:rsid w:val="00B92C71"/>
    <w:rsid w:val="00B94DBA"/>
    <w:rsid w:val="00B96D8F"/>
    <w:rsid w:val="00BA015D"/>
    <w:rsid w:val="00BA78D2"/>
    <w:rsid w:val="00BB4B03"/>
    <w:rsid w:val="00BC5647"/>
    <w:rsid w:val="00BC6CDF"/>
    <w:rsid w:val="00BD1F11"/>
    <w:rsid w:val="00BD2177"/>
    <w:rsid w:val="00BD2849"/>
    <w:rsid w:val="00BD2BDC"/>
    <w:rsid w:val="00BD58F0"/>
    <w:rsid w:val="00BD6AAE"/>
    <w:rsid w:val="00BE0427"/>
    <w:rsid w:val="00BE65E8"/>
    <w:rsid w:val="00BE6A4E"/>
    <w:rsid w:val="00BE6B5B"/>
    <w:rsid w:val="00BE6DF3"/>
    <w:rsid w:val="00BE6E67"/>
    <w:rsid w:val="00BF1A21"/>
    <w:rsid w:val="00C014C5"/>
    <w:rsid w:val="00C2239E"/>
    <w:rsid w:val="00C23370"/>
    <w:rsid w:val="00C31E9F"/>
    <w:rsid w:val="00C32C55"/>
    <w:rsid w:val="00C378CD"/>
    <w:rsid w:val="00C42012"/>
    <w:rsid w:val="00C43998"/>
    <w:rsid w:val="00C442B3"/>
    <w:rsid w:val="00C4491E"/>
    <w:rsid w:val="00C51329"/>
    <w:rsid w:val="00C51E09"/>
    <w:rsid w:val="00C57976"/>
    <w:rsid w:val="00C57B85"/>
    <w:rsid w:val="00C63BEE"/>
    <w:rsid w:val="00C734C4"/>
    <w:rsid w:val="00C74826"/>
    <w:rsid w:val="00C74890"/>
    <w:rsid w:val="00C75DD0"/>
    <w:rsid w:val="00C76A23"/>
    <w:rsid w:val="00C77CA6"/>
    <w:rsid w:val="00C8402A"/>
    <w:rsid w:val="00C86648"/>
    <w:rsid w:val="00C94DD4"/>
    <w:rsid w:val="00C951F4"/>
    <w:rsid w:val="00CA5EE7"/>
    <w:rsid w:val="00CB1B12"/>
    <w:rsid w:val="00CB7313"/>
    <w:rsid w:val="00CC0901"/>
    <w:rsid w:val="00CC47BA"/>
    <w:rsid w:val="00CC6EDD"/>
    <w:rsid w:val="00CD29AE"/>
    <w:rsid w:val="00CD416B"/>
    <w:rsid w:val="00CD68EE"/>
    <w:rsid w:val="00CD7295"/>
    <w:rsid w:val="00CE0B26"/>
    <w:rsid w:val="00CE2597"/>
    <w:rsid w:val="00CE465E"/>
    <w:rsid w:val="00CE472E"/>
    <w:rsid w:val="00CE47B9"/>
    <w:rsid w:val="00CE68A2"/>
    <w:rsid w:val="00CE7C4E"/>
    <w:rsid w:val="00CF07DD"/>
    <w:rsid w:val="00CF2418"/>
    <w:rsid w:val="00CF43E0"/>
    <w:rsid w:val="00CF4F30"/>
    <w:rsid w:val="00CF6FA2"/>
    <w:rsid w:val="00D0331B"/>
    <w:rsid w:val="00D03F6C"/>
    <w:rsid w:val="00D0455E"/>
    <w:rsid w:val="00D06548"/>
    <w:rsid w:val="00D175E3"/>
    <w:rsid w:val="00D21189"/>
    <w:rsid w:val="00D22584"/>
    <w:rsid w:val="00D22EF7"/>
    <w:rsid w:val="00D25868"/>
    <w:rsid w:val="00D258A3"/>
    <w:rsid w:val="00D2687D"/>
    <w:rsid w:val="00D302E6"/>
    <w:rsid w:val="00D31444"/>
    <w:rsid w:val="00D40644"/>
    <w:rsid w:val="00D409D8"/>
    <w:rsid w:val="00D43A09"/>
    <w:rsid w:val="00D43B04"/>
    <w:rsid w:val="00D50D7A"/>
    <w:rsid w:val="00D5136A"/>
    <w:rsid w:val="00D54F6E"/>
    <w:rsid w:val="00D56552"/>
    <w:rsid w:val="00D632F1"/>
    <w:rsid w:val="00D63F7C"/>
    <w:rsid w:val="00D73671"/>
    <w:rsid w:val="00D75AE2"/>
    <w:rsid w:val="00D8508B"/>
    <w:rsid w:val="00D8669F"/>
    <w:rsid w:val="00D97663"/>
    <w:rsid w:val="00DA373A"/>
    <w:rsid w:val="00DB0231"/>
    <w:rsid w:val="00DB0FE0"/>
    <w:rsid w:val="00DB246B"/>
    <w:rsid w:val="00DB28A9"/>
    <w:rsid w:val="00DB5BE2"/>
    <w:rsid w:val="00DC0879"/>
    <w:rsid w:val="00DC4B4F"/>
    <w:rsid w:val="00DC6598"/>
    <w:rsid w:val="00DC6FF1"/>
    <w:rsid w:val="00DD2462"/>
    <w:rsid w:val="00DD4B6E"/>
    <w:rsid w:val="00DE119A"/>
    <w:rsid w:val="00DE3149"/>
    <w:rsid w:val="00DF4483"/>
    <w:rsid w:val="00DF4ED7"/>
    <w:rsid w:val="00DF7183"/>
    <w:rsid w:val="00E020B3"/>
    <w:rsid w:val="00E02677"/>
    <w:rsid w:val="00E039CF"/>
    <w:rsid w:val="00E03AF9"/>
    <w:rsid w:val="00E104B4"/>
    <w:rsid w:val="00E115D0"/>
    <w:rsid w:val="00E16B3E"/>
    <w:rsid w:val="00E233E9"/>
    <w:rsid w:val="00E30156"/>
    <w:rsid w:val="00E31F7B"/>
    <w:rsid w:val="00E32EC0"/>
    <w:rsid w:val="00E4035C"/>
    <w:rsid w:val="00E4103C"/>
    <w:rsid w:val="00E42C47"/>
    <w:rsid w:val="00E42DCB"/>
    <w:rsid w:val="00E433CF"/>
    <w:rsid w:val="00E43779"/>
    <w:rsid w:val="00E56C24"/>
    <w:rsid w:val="00E602C2"/>
    <w:rsid w:val="00E6214D"/>
    <w:rsid w:val="00E62462"/>
    <w:rsid w:val="00E6642D"/>
    <w:rsid w:val="00E677FA"/>
    <w:rsid w:val="00E67EDC"/>
    <w:rsid w:val="00E73327"/>
    <w:rsid w:val="00E745C7"/>
    <w:rsid w:val="00E82B77"/>
    <w:rsid w:val="00E904F2"/>
    <w:rsid w:val="00E93519"/>
    <w:rsid w:val="00EA1C86"/>
    <w:rsid w:val="00EA422E"/>
    <w:rsid w:val="00EB5E5F"/>
    <w:rsid w:val="00EB5EFC"/>
    <w:rsid w:val="00EB6A54"/>
    <w:rsid w:val="00EB6D18"/>
    <w:rsid w:val="00EB7129"/>
    <w:rsid w:val="00EC203C"/>
    <w:rsid w:val="00EC2771"/>
    <w:rsid w:val="00EC3348"/>
    <w:rsid w:val="00EC7C5A"/>
    <w:rsid w:val="00ED20C9"/>
    <w:rsid w:val="00ED4C35"/>
    <w:rsid w:val="00ED6701"/>
    <w:rsid w:val="00EE0A42"/>
    <w:rsid w:val="00EE2E57"/>
    <w:rsid w:val="00EE5068"/>
    <w:rsid w:val="00EF12C4"/>
    <w:rsid w:val="00EF2B03"/>
    <w:rsid w:val="00EF53E7"/>
    <w:rsid w:val="00EF744C"/>
    <w:rsid w:val="00F00FDB"/>
    <w:rsid w:val="00F0488D"/>
    <w:rsid w:val="00F05E11"/>
    <w:rsid w:val="00F06045"/>
    <w:rsid w:val="00F07089"/>
    <w:rsid w:val="00F15BCD"/>
    <w:rsid w:val="00F21E99"/>
    <w:rsid w:val="00F26397"/>
    <w:rsid w:val="00F266E5"/>
    <w:rsid w:val="00F26C0D"/>
    <w:rsid w:val="00F26D44"/>
    <w:rsid w:val="00F30B3D"/>
    <w:rsid w:val="00F30B80"/>
    <w:rsid w:val="00F322C3"/>
    <w:rsid w:val="00F41213"/>
    <w:rsid w:val="00F44311"/>
    <w:rsid w:val="00F4454F"/>
    <w:rsid w:val="00F465B3"/>
    <w:rsid w:val="00F50409"/>
    <w:rsid w:val="00F53181"/>
    <w:rsid w:val="00F53CE9"/>
    <w:rsid w:val="00F64E16"/>
    <w:rsid w:val="00F74A54"/>
    <w:rsid w:val="00F77EB8"/>
    <w:rsid w:val="00F8010E"/>
    <w:rsid w:val="00F819B1"/>
    <w:rsid w:val="00F877DE"/>
    <w:rsid w:val="00F93FA5"/>
    <w:rsid w:val="00F96845"/>
    <w:rsid w:val="00FA224C"/>
    <w:rsid w:val="00FA3E41"/>
    <w:rsid w:val="00FC1DB5"/>
    <w:rsid w:val="00FC243C"/>
    <w:rsid w:val="00FC671F"/>
    <w:rsid w:val="00FD0460"/>
    <w:rsid w:val="00FD293B"/>
    <w:rsid w:val="00FE5692"/>
    <w:rsid w:val="00FE7FA4"/>
    <w:rsid w:val="00FF19E9"/>
    <w:rsid w:val="00FF5207"/>
    <w:rsid w:val="00FF5AF7"/>
    <w:rsid w:val="0EDF767D"/>
    <w:rsid w:val="20010BD5"/>
    <w:rsid w:val="2FB264AE"/>
    <w:rsid w:val="4E6D4E76"/>
    <w:rsid w:val="557B4E6C"/>
    <w:rsid w:val="56CF20EE"/>
    <w:rsid w:val="5E6D54CE"/>
    <w:rsid w:val="60473D11"/>
    <w:rsid w:val="6D3720E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100" w:beforeAutospacing="1" w:after="100" w:afterAutospacing="1"/>
      <w:jc w:val="left"/>
    </w:pPr>
    <w:rPr>
      <w:rFonts w:asciiTheme="minorHAnsi" w:hAnsiTheme="minorHAnsi" w:eastAsiaTheme="minorEastAsia"/>
      <w:kern w:val="0"/>
      <w:sz w:val="24"/>
      <w:szCs w:val="22"/>
    </w:rPr>
  </w:style>
  <w:style w:type="character" w:styleId="8">
    <w:name w:val="page number"/>
    <w:basedOn w:val="7"/>
    <w:qFormat/>
    <w:uiPriority w:val="0"/>
  </w:style>
  <w:style w:type="character" w:customStyle="1" w:styleId="9">
    <w:name w:val="页眉 Char"/>
    <w:basedOn w:val="7"/>
    <w:link w:val="4"/>
    <w:qFormat/>
    <w:uiPriority w:val="99"/>
    <w:rPr>
      <w:sz w:val="18"/>
      <w:szCs w:val="18"/>
    </w:rPr>
  </w:style>
  <w:style w:type="character" w:customStyle="1" w:styleId="10">
    <w:name w:val="页脚 Char"/>
    <w:basedOn w:val="7"/>
    <w:link w:val="3"/>
    <w:uiPriority w:val="99"/>
    <w:rPr>
      <w:sz w:val="18"/>
      <w:szCs w:val="18"/>
    </w:rPr>
  </w:style>
  <w:style w:type="character" w:customStyle="1" w:styleId="11">
    <w:name w:val="批注框文本 Char"/>
    <w:basedOn w:val="7"/>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3956</Words>
  <Characters>4403</Characters>
  <Lines>33</Lines>
  <Paragraphs>9</Paragraphs>
  <TotalTime>0</TotalTime>
  <ScaleCrop>false</ScaleCrop>
  <LinksUpToDate>false</LinksUpToDate>
  <CharactersWithSpaces>4475</CharactersWithSpaces>
  <Application>WPS Office_11.1.0.8799_F1E327BC-269C-435d-A152-05C5408002CA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2025-01-21T02:12:00Z</dcterms:created>
  <dc:creator>CN=预算处/OU=预算处/OU=西藏自治区财政厅/O=TIBET</dc:creator>
  <cp:lastModifiedBy>Administrator</cp:lastModifiedBy>
  <cp:lastPrinted>2025-01-26T03:03:00Z</cp:lastPrinted>
  <dcterms:modified xsi:type="dcterms:W3CDTF">2025-01-26T09:42:32Z</dcterms:modified>
  <cp:revision>1067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2052-11.1.0.8799</vt:lpwstr>
  </property>
  <property fmtid="{D5CDD505-2E9C-101B-9397-08002B2CF9AE}" pid="3" name="ICV">
    <vt:lpwstr>25565885528E4B87BEA212E17EF1B966_12</vt:lpwstr>
  </property>
</Properties>
</file>