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keepNext w:val="0"/>
        <w:keepLines w:val="0"/>
        <w:pageBreakBefore w:val="0"/>
        <w:kinsoku/>
        <w:wordWrap/>
        <w:overflowPunct/>
        <w:topLinePunct w:val="0"/>
        <w:autoSpaceDE/>
        <w:autoSpaceDN/>
        <w:bidi w:val="0"/>
        <w:adjustRightInd/>
        <w:snapToGrid/>
        <w:spacing w:line="576" w:lineRule="exact"/>
        <w:contextualSpacing/>
        <w:jc w:val="center"/>
        <w:textAlignment w:val="auto"/>
        <w:outlineLvl w:val="9"/>
        <w:rPr>
          <w:rFonts w:hint="eastAsia" w:ascii="方正小标宋简体" w:hAnsi="方正小标宋简体" w:eastAsia="方正小标宋简体" w:cs="方正小标宋简体"/>
          <w:b/>
          <w:sz w:val="44"/>
          <w:szCs w:val="44"/>
          <w:lang w:eastAsia="zh-CN"/>
        </w:rPr>
      </w:pPr>
      <w:r>
        <w:rPr>
          <w:rFonts w:hint="eastAsia" w:ascii="方正小标宋简体" w:hAnsi="方正小标宋简体" w:eastAsia="方正小标宋简体" w:cs="方正小标宋简体"/>
          <w:b/>
          <w:sz w:val="44"/>
          <w:szCs w:val="44"/>
          <w:lang w:eastAsia="zh-CN"/>
        </w:rPr>
        <w:t>中共工布江达县委员会办公室</w:t>
      </w:r>
    </w:p>
    <w:p>
      <w:pPr>
        <w:keepNext w:val="0"/>
        <w:keepLines w:val="0"/>
        <w:pageBreakBefore w:val="0"/>
        <w:kinsoku/>
        <w:wordWrap/>
        <w:overflowPunct/>
        <w:topLinePunct w:val="0"/>
        <w:autoSpaceDE/>
        <w:autoSpaceDN/>
        <w:bidi w:val="0"/>
        <w:adjustRightInd/>
        <w:snapToGrid/>
        <w:spacing w:line="576" w:lineRule="exact"/>
        <w:contextualSpacing/>
        <w:jc w:val="center"/>
        <w:textAlignment w:val="auto"/>
        <w:outlineLvl w:val="9"/>
        <w:rPr>
          <w:rFonts w:hint="eastAsia" w:ascii="方正小标宋简体" w:hAnsi="方正小标宋简体" w:eastAsia="方正小标宋简体" w:cs="方正小标宋简体"/>
          <w:b/>
          <w:sz w:val="44"/>
          <w:szCs w:val="44"/>
        </w:rPr>
      </w:pPr>
      <w:r>
        <w:rPr>
          <w:rFonts w:hint="eastAsia" w:ascii="方正小标宋简体" w:hAnsi="方正小标宋简体" w:eastAsia="方正小标宋简体" w:cs="方正小标宋简体"/>
          <w:b/>
          <w:sz w:val="44"/>
          <w:szCs w:val="44"/>
        </w:rPr>
        <w:t>202</w:t>
      </w:r>
      <w:r>
        <w:rPr>
          <w:rFonts w:hint="eastAsia" w:ascii="方正小标宋简体" w:hAnsi="方正小标宋简体" w:eastAsia="方正小标宋简体" w:cs="方正小标宋简体"/>
          <w:b/>
          <w:sz w:val="44"/>
          <w:szCs w:val="44"/>
          <w:lang w:val="en-US" w:eastAsia="zh-CN"/>
        </w:rPr>
        <w:t>2</w:t>
      </w:r>
      <w:r>
        <w:rPr>
          <w:rFonts w:hint="eastAsia" w:ascii="方正小标宋简体" w:hAnsi="方正小标宋简体" w:eastAsia="方正小标宋简体" w:cs="方正小标宋简体"/>
          <w:b/>
          <w:sz w:val="44"/>
          <w:szCs w:val="44"/>
        </w:rPr>
        <w:t>年度部门决算</w:t>
      </w:r>
    </w:p>
    <w:p>
      <w:pPr>
        <w:keepNext w:val="0"/>
        <w:keepLines w:val="0"/>
        <w:pageBreakBefore w:val="0"/>
        <w:kinsoku/>
        <w:wordWrap/>
        <w:overflowPunct/>
        <w:topLinePunct w:val="0"/>
        <w:autoSpaceDE/>
        <w:autoSpaceDN/>
        <w:bidi w:val="0"/>
        <w:adjustRightInd/>
        <w:snapToGrid/>
        <w:spacing w:line="576" w:lineRule="exact"/>
        <w:contextualSpacing/>
        <w:textAlignment w:val="auto"/>
        <w:outlineLvl w:val="9"/>
        <w:rPr>
          <w:rFonts w:hint="eastAsia" w:eastAsia="仿宋_GB2312"/>
          <w:sz w:val="32"/>
          <w:szCs w:val="44"/>
        </w:rPr>
      </w:pPr>
    </w:p>
    <w:p>
      <w:pPr>
        <w:keepNext w:val="0"/>
        <w:keepLines w:val="0"/>
        <w:pageBreakBefore w:val="0"/>
        <w:kinsoku/>
        <w:wordWrap/>
        <w:overflowPunct/>
        <w:topLinePunct w:val="0"/>
        <w:autoSpaceDE/>
        <w:autoSpaceDN/>
        <w:bidi w:val="0"/>
        <w:adjustRightInd/>
        <w:snapToGrid/>
        <w:spacing w:line="576" w:lineRule="exact"/>
        <w:contextualSpacing/>
        <w:textAlignment w:val="auto"/>
        <w:outlineLvl w:val="9"/>
        <w:rPr>
          <w:rFonts w:hint="eastAsia" w:eastAsia="仿宋_GB2312"/>
          <w:sz w:val="32"/>
          <w:szCs w:val="44"/>
        </w:rPr>
      </w:pPr>
    </w:p>
    <w:p>
      <w:pPr>
        <w:keepNext w:val="0"/>
        <w:keepLines w:val="0"/>
        <w:pageBreakBefore w:val="0"/>
        <w:kinsoku/>
        <w:wordWrap/>
        <w:overflowPunct/>
        <w:topLinePunct w:val="0"/>
        <w:autoSpaceDE/>
        <w:autoSpaceDN/>
        <w:bidi w:val="0"/>
        <w:adjustRightInd/>
        <w:snapToGrid/>
        <w:spacing w:line="576" w:lineRule="exact"/>
        <w:contextualSpacing/>
        <w:textAlignment w:val="auto"/>
        <w:outlineLvl w:val="9"/>
        <w:rPr>
          <w:rFonts w:hint="eastAsia" w:eastAsia="仿宋_GB2312"/>
          <w:sz w:val="32"/>
          <w:szCs w:val="44"/>
        </w:rPr>
      </w:pPr>
    </w:p>
    <w:p>
      <w:pPr>
        <w:keepNext w:val="0"/>
        <w:keepLines w:val="0"/>
        <w:pageBreakBefore w:val="0"/>
        <w:kinsoku/>
        <w:wordWrap/>
        <w:overflowPunct/>
        <w:topLinePunct w:val="0"/>
        <w:autoSpaceDE/>
        <w:autoSpaceDN/>
        <w:bidi w:val="0"/>
        <w:adjustRightInd/>
        <w:snapToGrid/>
        <w:spacing w:line="576" w:lineRule="exact"/>
        <w:contextualSpacing/>
        <w:textAlignment w:val="auto"/>
        <w:outlineLvl w:val="9"/>
        <w:rPr>
          <w:rFonts w:hint="eastAsia" w:eastAsia="仿宋_GB2312"/>
          <w:sz w:val="32"/>
          <w:szCs w:val="44"/>
        </w:rPr>
      </w:pPr>
    </w:p>
    <w:p>
      <w:pPr>
        <w:keepNext w:val="0"/>
        <w:keepLines w:val="0"/>
        <w:pageBreakBefore w:val="0"/>
        <w:kinsoku/>
        <w:wordWrap/>
        <w:overflowPunct/>
        <w:topLinePunct w:val="0"/>
        <w:autoSpaceDE/>
        <w:autoSpaceDN/>
        <w:bidi w:val="0"/>
        <w:adjustRightInd/>
        <w:snapToGrid/>
        <w:spacing w:line="576" w:lineRule="exact"/>
        <w:contextualSpacing/>
        <w:textAlignment w:val="auto"/>
        <w:outlineLvl w:val="9"/>
        <w:rPr>
          <w:rFonts w:hint="eastAsia" w:eastAsia="仿宋_GB2312"/>
          <w:sz w:val="32"/>
          <w:szCs w:val="44"/>
        </w:rPr>
      </w:pPr>
    </w:p>
    <w:p>
      <w:pPr>
        <w:keepNext w:val="0"/>
        <w:keepLines w:val="0"/>
        <w:pageBreakBefore w:val="0"/>
        <w:kinsoku/>
        <w:wordWrap/>
        <w:overflowPunct/>
        <w:topLinePunct w:val="0"/>
        <w:autoSpaceDE/>
        <w:autoSpaceDN/>
        <w:bidi w:val="0"/>
        <w:adjustRightInd/>
        <w:snapToGrid/>
        <w:spacing w:line="576" w:lineRule="exact"/>
        <w:contextualSpacing/>
        <w:textAlignment w:val="auto"/>
        <w:outlineLvl w:val="9"/>
        <w:rPr>
          <w:rFonts w:hint="eastAsia" w:eastAsia="仿宋_GB2312"/>
          <w:sz w:val="32"/>
          <w:szCs w:val="44"/>
        </w:rPr>
      </w:pPr>
    </w:p>
    <w:p>
      <w:pPr>
        <w:keepNext w:val="0"/>
        <w:keepLines w:val="0"/>
        <w:pageBreakBefore w:val="0"/>
        <w:kinsoku/>
        <w:wordWrap/>
        <w:overflowPunct/>
        <w:topLinePunct w:val="0"/>
        <w:autoSpaceDE/>
        <w:autoSpaceDN/>
        <w:bidi w:val="0"/>
        <w:adjustRightInd/>
        <w:snapToGrid/>
        <w:spacing w:line="576" w:lineRule="exact"/>
        <w:contextualSpacing/>
        <w:textAlignment w:val="auto"/>
        <w:outlineLvl w:val="9"/>
        <w:rPr>
          <w:rFonts w:hint="eastAsia" w:eastAsia="仿宋_GB2312"/>
          <w:sz w:val="32"/>
          <w:szCs w:val="44"/>
        </w:rPr>
      </w:pPr>
    </w:p>
    <w:p>
      <w:pPr>
        <w:keepNext w:val="0"/>
        <w:keepLines w:val="0"/>
        <w:pageBreakBefore w:val="0"/>
        <w:kinsoku/>
        <w:wordWrap/>
        <w:overflowPunct/>
        <w:topLinePunct w:val="0"/>
        <w:autoSpaceDE/>
        <w:autoSpaceDN/>
        <w:bidi w:val="0"/>
        <w:adjustRightInd/>
        <w:snapToGrid/>
        <w:spacing w:line="576" w:lineRule="exact"/>
        <w:contextualSpacing/>
        <w:textAlignment w:val="auto"/>
        <w:outlineLvl w:val="9"/>
        <w:rPr>
          <w:rFonts w:hint="eastAsia" w:eastAsia="仿宋_GB2312"/>
          <w:sz w:val="32"/>
          <w:szCs w:val="44"/>
        </w:rPr>
      </w:pPr>
    </w:p>
    <w:p>
      <w:pPr>
        <w:keepNext w:val="0"/>
        <w:keepLines w:val="0"/>
        <w:pageBreakBefore w:val="0"/>
        <w:kinsoku/>
        <w:wordWrap/>
        <w:overflowPunct/>
        <w:topLinePunct w:val="0"/>
        <w:autoSpaceDE/>
        <w:autoSpaceDN/>
        <w:bidi w:val="0"/>
        <w:adjustRightInd/>
        <w:snapToGrid/>
        <w:spacing w:line="576" w:lineRule="exact"/>
        <w:contextualSpacing/>
        <w:textAlignment w:val="auto"/>
        <w:outlineLvl w:val="9"/>
        <w:rPr>
          <w:rFonts w:hint="eastAsia" w:eastAsia="仿宋_GB2312"/>
          <w:sz w:val="32"/>
          <w:szCs w:val="44"/>
        </w:rPr>
      </w:pPr>
    </w:p>
    <w:p>
      <w:pPr>
        <w:keepNext w:val="0"/>
        <w:keepLines w:val="0"/>
        <w:pageBreakBefore w:val="0"/>
        <w:kinsoku/>
        <w:wordWrap/>
        <w:overflowPunct/>
        <w:topLinePunct w:val="0"/>
        <w:autoSpaceDE/>
        <w:autoSpaceDN/>
        <w:bidi w:val="0"/>
        <w:adjustRightInd/>
        <w:snapToGrid/>
        <w:spacing w:line="576" w:lineRule="exact"/>
        <w:contextualSpacing/>
        <w:textAlignment w:val="auto"/>
        <w:outlineLvl w:val="9"/>
        <w:rPr>
          <w:rFonts w:eastAsia="仿宋_GB2312"/>
          <w:sz w:val="32"/>
          <w:szCs w:val="44"/>
        </w:rPr>
      </w:pPr>
    </w:p>
    <w:p>
      <w:pPr>
        <w:keepNext w:val="0"/>
        <w:keepLines w:val="0"/>
        <w:pageBreakBefore w:val="0"/>
        <w:kinsoku/>
        <w:wordWrap/>
        <w:overflowPunct/>
        <w:topLinePunct w:val="0"/>
        <w:autoSpaceDE/>
        <w:autoSpaceDN/>
        <w:bidi w:val="0"/>
        <w:adjustRightInd/>
        <w:snapToGrid/>
        <w:spacing w:line="576" w:lineRule="exact"/>
        <w:contextualSpacing/>
        <w:textAlignment w:val="auto"/>
        <w:outlineLvl w:val="9"/>
        <w:rPr>
          <w:rFonts w:hint="eastAsia" w:eastAsia="仿宋_GB2312"/>
          <w:sz w:val="32"/>
          <w:szCs w:val="44"/>
        </w:rPr>
      </w:pPr>
    </w:p>
    <w:p>
      <w:pPr>
        <w:keepNext w:val="0"/>
        <w:keepLines w:val="0"/>
        <w:pageBreakBefore w:val="0"/>
        <w:kinsoku/>
        <w:wordWrap/>
        <w:overflowPunct/>
        <w:topLinePunct w:val="0"/>
        <w:autoSpaceDE/>
        <w:autoSpaceDN/>
        <w:bidi w:val="0"/>
        <w:adjustRightInd/>
        <w:snapToGrid/>
        <w:spacing w:line="576" w:lineRule="exact"/>
        <w:contextualSpacing/>
        <w:textAlignment w:val="auto"/>
        <w:outlineLvl w:val="9"/>
        <w:rPr>
          <w:rFonts w:hint="eastAsia" w:eastAsia="仿宋_GB2312"/>
          <w:sz w:val="32"/>
          <w:szCs w:val="44"/>
        </w:rPr>
      </w:pPr>
    </w:p>
    <w:p>
      <w:pPr>
        <w:keepNext w:val="0"/>
        <w:keepLines w:val="0"/>
        <w:pageBreakBefore w:val="0"/>
        <w:kinsoku/>
        <w:wordWrap/>
        <w:overflowPunct/>
        <w:topLinePunct w:val="0"/>
        <w:autoSpaceDE/>
        <w:autoSpaceDN/>
        <w:bidi w:val="0"/>
        <w:adjustRightInd/>
        <w:snapToGrid/>
        <w:spacing w:line="576" w:lineRule="exact"/>
        <w:contextualSpacing/>
        <w:textAlignment w:val="auto"/>
        <w:outlineLvl w:val="9"/>
        <w:rPr>
          <w:rFonts w:hint="eastAsia" w:eastAsia="仿宋_GB2312"/>
          <w:sz w:val="32"/>
          <w:szCs w:val="44"/>
        </w:rPr>
      </w:pPr>
    </w:p>
    <w:p>
      <w:pPr>
        <w:keepNext w:val="0"/>
        <w:keepLines w:val="0"/>
        <w:pageBreakBefore w:val="0"/>
        <w:kinsoku/>
        <w:wordWrap/>
        <w:overflowPunct/>
        <w:topLinePunct w:val="0"/>
        <w:autoSpaceDE/>
        <w:autoSpaceDN/>
        <w:bidi w:val="0"/>
        <w:adjustRightInd/>
        <w:snapToGrid/>
        <w:spacing w:line="576" w:lineRule="exact"/>
        <w:contextualSpacing/>
        <w:jc w:val="center"/>
        <w:textAlignment w:val="auto"/>
        <w:outlineLvl w:val="9"/>
        <w:rPr>
          <w:rFonts w:hint="eastAsia" w:ascii="宋体" w:hAnsi="宋体" w:eastAsia="仿宋_GB2312"/>
          <w:sz w:val="32"/>
          <w:szCs w:val="32"/>
          <w:u w:val="single"/>
        </w:rPr>
      </w:pPr>
      <w:r>
        <w:rPr>
          <w:rFonts w:hint="eastAsia" w:ascii="宋体" w:hAnsi="宋体" w:eastAsia="仿宋_GB2312"/>
          <w:sz w:val="32"/>
          <w:szCs w:val="32"/>
          <w:u w:val="single"/>
        </w:rPr>
        <w:t xml:space="preserve"> </w:t>
      </w:r>
      <w:r>
        <w:rPr>
          <w:rFonts w:ascii="宋体" w:hAnsi="宋体" w:eastAsia="仿宋_GB2312"/>
          <w:sz w:val="32"/>
          <w:szCs w:val="32"/>
          <w:u w:val="single"/>
        </w:rPr>
        <w:t xml:space="preserve"> </w:t>
      </w:r>
      <w:r>
        <w:rPr>
          <w:rFonts w:hint="eastAsia" w:ascii="宋体" w:hAnsi="宋体" w:eastAsia="仿宋_GB2312"/>
          <w:sz w:val="32"/>
          <w:szCs w:val="32"/>
          <w:u w:val="single"/>
          <w:lang w:val="en-US" w:eastAsia="zh-CN"/>
        </w:rPr>
        <w:t>2022</w:t>
      </w:r>
      <w:r>
        <w:rPr>
          <w:rFonts w:ascii="宋体" w:hAnsi="宋体" w:eastAsia="仿宋_GB2312"/>
          <w:sz w:val="32"/>
          <w:szCs w:val="32"/>
          <w:u w:val="single"/>
        </w:rPr>
        <w:t xml:space="preserve"> </w:t>
      </w:r>
      <w:r>
        <w:rPr>
          <w:rFonts w:hint="eastAsia" w:ascii="宋体" w:hAnsi="宋体" w:eastAsia="仿宋_GB2312"/>
          <w:sz w:val="32"/>
          <w:szCs w:val="32"/>
        </w:rPr>
        <w:t>年</w:t>
      </w:r>
      <w:r>
        <w:rPr>
          <w:rFonts w:ascii="宋体" w:hAnsi="宋体" w:eastAsia="仿宋_GB2312"/>
          <w:sz w:val="32"/>
          <w:szCs w:val="32"/>
          <w:u w:val="single"/>
        </w:rPr>
        <w:t xml:space="preserve"> </w:t>
      </w:r>
      <w:r>
        <w:rPr>
          <w:rFonts w:hint="eastAsia" w:ascii="宋体" w:hAnsi="宋体" w:eastAsia="仿宋_GB2312"/>
          <w:sz w:val="32"/>
          <w:szCs w:val="32"/>
          <w:u w:val="single"/>
          <w:lang w:val="en-US" w:eastAsia="zh-CN"/>
        </w:rPr>
        <w:t>12</w:t>
      </w:r>
      <w:r>
        <w:rPr>
          <w:rFonts w:hint="eastAsia" w:ascii="宋体" w:hAnsi="宋体" w:eastAsia="仿宋_GB2312"/>
          <w:sz w:val="32"/>
          <w:szCs w:val="32"/>
          <w:u w:val="single"/>
        </w:rPr>
        <w:t xml:space="preserve"> </w:t>
      </w:r>
      <w:r>
        <w:rPr>
          <w:rFonts w:hint="eastAsia" w:ascii="宋体" w:hAnsi="宋体" w:eastAsia="仿宋_GB2312"/>
          <w:sz w:val="32"/>
          <w:szCs w:val="32"/>
        </w:rPr>
        <w:t>月</w:t>
      </w:r>
      <w:r>
        <w:rPr>
          <w:rFonts w:hint="eastAsia" w:ascii="宋体" w:hAnsi="宋体" w:eastAsia="仿宋_GB2312"/>
          <w:sz w:val="32"/>
          <w:szCs w:val="32"/>
          <w:u w:val="single"/>
        </w:rPr>
        <w:t xml:space="preserve"> </w:t>
      </w:r>
      <w:r>
        <w:rPr>
          <w:rFonts w:hint="eastAsia" w:ascii="宋体" w:hAnsi="宋体" w:eastAsia="仿宋_GB2312"/>
          <w:sz w:val="32"/>
          <w:szCs w:val="32"/>
          <w:u w:val="single"/>
          <w:lang w:val="en-US" w:eastAsia="zh-CN"/>
        </w:rPr>
        <w:t>31</w:t>
      </w:r>
      <w:r>
        <w:rPr>
          <w:rFonts w:hint="eastAsia" w:ascii="宋体" w:hAnsi="宋体" w:eastAsia="仿宋_GB2312"/>
          <w:sz w:val="32"/>
          <w:szCs w:val="32"/>
          <w:u w:val="single"/>
        </w:rPr>
        <w:t xml:space="preserve"> 日</w:t>
      </w:r>
    </w:p>
    <w:p>
      <w:pPr>
        <w:keepNext w:val="0"/>
        <w:keepLines w:val="0"/>
        <w:pageBreakBefore w:val="0"/>
        <w:kinsoku/>
        <w:wordWrap/>
        <w:overflowPunct/>
        <w:topLinePunct w:val="0"/>
        <w:autoSpaceDE/>
        <w:autoSpaceDN/>
        <w:bidi w:val="0"/>
        <w:adjustRightInd/>
        <w:snapToGrid/>
        <w:spacing w:line="576" w:lineRule="exact"/>
        <w:contextualSpacing/>
        <w:textAlignment w:val="auto"/>
        <w:outlineLvl w:val="9"/>
        <w:rPr>
          <w:rFonts w:hint="eastAsia" w:eastAsia="仿宋_GB2312"/>
          <w:sz w:val="32"/>
          <w:szCs w:val="44"/>
        </w:rPr>
      </w:pPr>
    </w:p>
    <w:p>
      <w:pPr>
        <w:keepNext w:val="0"/>
        <w:keepLines w:val="0"/>
        <w:pageBreakBefore w:val="0"/>
        <w:kinsoku/>
        <w:wordWrap/>
        <w:overflowPunct/>
        <w:topLinePunct w:val="0"/>
        <w:autoSpaceDE/>
        <w:autoSpaceDN/>
        <w:bidi w:val="0"/>
        <w:adjustRightInd/>
        <w:snapToGrid/>
        <w:spacing w:line="576" w:lineRule="exact"/>
        <w:contextualSpacing/>
        <w:textAlignment w:val="auto"/>
        <w:outlineLvl w:val="9"/>
        <w:rPr>
          <w:rFonts w:hint="eastAsia" w:eastAsia="仿宋_GB2312"/>
          <w:sz w:val="32"/>
          <w:szCs w:val="4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0"/>
        <w:jc w:val="center"/>
        <w:textAlignment w:val="auto"/>
        <w:outlineLvl w:val="9"/>
        <w:rPr>
          <w:rFonts w:ascii="黑体" w:hAnsi="宋体" w:eastAsia="仿宋_GB2312" w:cs="黑体"/>
          <w:i w:val="0"/>
          <w:iCs w:val="0"/>
          <w:caps w:val="0"/>
          <w:color w:val="000000"/>
          <w:spacing w:val="0"/>
          <w:sz w:val="32"/>
          <w:szCs w:val="52"/>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0"/>
        <w:jc w:val="center"/>
        <w:textAlignment w:val="auto"/>
        <w:outlineLvl w:val="9"/>
        <w:rPr>
          <w:rFonts w:ascii="黑体" w:hAnsi="宋体" w:eastAsia="仿宋_GB2312" w:cs="黑体"/>
          <w:i w:val="0"/>
          <w:iCs w:val="0"/>
          <w:caps w:val="0"/>
          <w:color w:val="000000"/>
          <w:spacing w:val="0"/>
          <w:sz w:val="32"/>
          <w:szCs w:val="52"/>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0"/>
        <w:jc w:val="center"/>
        <w:textAlignment w:val="auto"/>
        <w:outlineLvl w:val="9"/>
        <w:rPr>
          <w:rFonts w:ascii="黑体" w:hAnsi="宋体" w:eastAsia="仿宋_GB2312" w:cs="黑体"/>
          <w:i w:val="0"/>
          <w:iCs w:val="0"/>
          <w:caps w:val="0"/>
          <w:color w:val="000000"/>
          <w:spacing w:val="0"/>
          <w:sz w:val="32"/>
          <w:szCs w:val="52"/>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0"/>
        <w:jc w:val="both"/>
        <w:textAlignment w:val="auto"/>
        <w:outlineLvl w:val="9"/>
        <w:rPr>
          <w:rFonts w:ascii="黑体" w:hAnsi="宋体" w:eastAsia="仿宋_GB2312" w:cs="黑体"/>
          <w:i w:val="0"/>
          <w:iCs w:val="0"/>
          <w:caps w:val="0"/>
          <w:color w:val="000000"/>
          <w:spacing w:val="0"/>
          <w:sz w:val="32"/>
          <w:szCs w:val="52"/>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rPr>
      </w:pPr>
      <w:r>
        <w:rPr>
          <w:rFonts w:hint="eastAsia" w:ascii="方正小标宋简体" w:hAnsi="方正小标宋简体" w:eastAsia="方正小标宋简体" w:cs="方正小标宋简体"/>
          <w:i w:val="0"/>
          <w:iCs w:val="0"/>
          <w:caps w:val="0"/>
          <w:color w:val="000000"/>
          <w:spacing w:val="0"/>
          <w:sz w:val="44"/>
          <w:szCs w:val="44"/>
          <w:shd w:val="clear" w:fill="FFFFFF"/>
        </w:rPr>
        <w:t>目 录</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0"/>
        <w:jc w:val="both"/>
        <w:textAlignment w:val="auto"/>
        <w:outlineLvl w:val="9"/>
        <w:rPr>
          <w:rFonts w:hint="eastAsia" w:ascii="微软雅黑" w:hAnsi="微软雅黑" w:eastAsia="仿宋_GB2312" w:cs="微软雅黑"/>
          <w:i w:val="0"/>
          <w:iCs w:val="0"/>
          <w:caps w:val="0"/>
          <w:color w:val="000000"/>
          <w:spacing w:val="0"/>
          <w:sz w:val="32"/>
          <w:szCs w:val="24"/>
        </w:rPr>
      </w:pPr>
      <w:r>
        <w:rPr>
          <w:rFonts w:ascii="Calibri" w:hAnsi="Calibri" w:eastAsia="仿宋_GB2312" w:cs="Calibri"/>
          <w:i w:val="0"/>
          <w:iCs w:val="0"/>
          <w:caps w:val="0"/>
          <w:color w:val="000000"/>
          <w:spacing w:val="0"/>
          <w:sz w:val="32"/>
          <w:szCs w:val="21"/>
          <w:shd w:val="clear" w:fill="FFFFFF"/>
        </w:rPr>
        <w:t>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3"/>
        <w:jc w:val="both"/>
        <w:textAlignment w:val="auto"/>
        <w:outlineLvl w:val="9"/>
        <w:rPr>
          <w:rFonts w:hint="eastAsia" w:ascii="黑体" w:hAnsi="黑体" w:eastAsia="黑体" w:cs="黑体"/>
          <w:b w:val="0"/>
          <w:bCs w:val="0"/>
          <w:i w:val="0"/>
          <w:iCs w:val="0"/>
          <w:caps w:val="0"/>
          <w:color w:val="000000"/>
          <w:spacing w:val="0"/>
          <w:sz w:val="32"/>
          <w:szCs w:val="24"/>
        </w:rPr>
      </w:pPr>
      <w:r>
        <w:rPr>
          <w:rFonts w:hint="eastAsia" w:ascii="黑体" w:hAnsi="黑体" w:eastAsia="黑体" w:cs="黑体"/>
          <w:b w:val="0"/>
          <w:bCs w:val="0"/>
          <w:i w:val="0"/>
          <w:iCs w:val="0"/>
          <w:caps w:val="0"/>
          <w:color w:val="000000"/>
          <w:spacing w:val="0"/>
          <w:sz w:val="32"/>
          <w:szCs w:val="36"/>
          <w:shd w:val="clear" w:fill="FFFFFF"/>
        </w:rPr>
        <w:t>第一部分</w:t>
      </w:r>
      <w:r>
        <w:rPr>
          <w:rFonts w:hint="eastAsia" w:ascii="黑体" w:hAnsi="黑体" w:eastAsia="黑体" w:cs="黑体"/>
          <w:b w:val="0"/>
          <w:bCs w:val="0"/>
          <w:i w:val="0"/>
          <w:iCs w:val="0"/>
          <w:caps w:val="0"/>
          <w:color w:val="000000"/>
          <w:spacing w:val="0"/>
          <w:sz w:val="32"/>
          <w:szCs w:val="36"/>
          <w:shd w:val="clear" w:fill="FFFFFF"/>
          <w:lang w:eastAsia="zh-CN"/>
        </w:rPr>
        <w:t>中共工布江达县委员会办公室</w:t>
      </w:r>
      <w:r>
        <w:rPr>
          <w:rFonts w:hint="eastAsia" w:ascii="黑体" w:hAnsi="黑体" w:eastAsia="黑体" w:cs="黑体"/>
          <w:b w:val="0"/>
          <w:bCs w:val="0"/>
          <w:i w:val="0"/>
          <w:iCs w:val="0"/>
          <w:caps w:val="0"/>
          <w:color w:val="000000"/>
          <w:spacing w:val="0"/>
          <w:sz w:val="32"/>
          <w:szCs w:val="36"/>
          <w:shd w:val="clear" w:fill="FFFFFF"/>
        </w:rPr>
        <w:t>概况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0"/>
        <w:jc w:val="both"/>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sz w:val="32"/>
          <w:szCs w:val="32"/>
          <w:shd w:val="clear" w:fill="FFFFFF"/>
        </w:rPr>
        <w:t>一、部门决算单位构成</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0"/>
        <w:jc w:val="both"/>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sz w:val="32"/>
          <w:szCs w:val="32"/>
          <w:shd w:val="clear" w:fill="FFFFFF"/>
        </w:rPr>
        <w:t>二、部门职责和机构设置</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3"/>
        <w:jc w:val="both"/>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黑体" w:hAnsi="黑体" w:eastAsia="黑体" w:cs="黑体"/>
          <w:b w:val="0"/>
          <w:bCs w:val="0"/>
          <w:i w:val="0"/>
          <w:iCs w:val="0"/>
          <w:caps w:val="0"/>
          <w:color w:val="000000"/>
          <w:spacing w:val="0"/>
          <w:sz w:val="32"/>
          <w:szCs w:val="36"/>
          <w:shd w:val="clear" w:fill="FFFFFF"/>
        </w:rPr>
        <w:t>第二部分</w:t>
      </w:r>
      <w:r>
        <w:rPr>
          <w:rFonts w:hint="eastAsia" w:ascii="黑体" w:hAnsi="黑体" w:eastAsia="黑体" w:cs="黑体"/>
          <w:b w:val="0"/>
          <w:bCs w:val="0"/>
          <w:i w:val="0"/>
          <w:iCs w:val="0"/>
          <w:caps w:val="0"/>
          <w:color w:val="000000"/>
          <w:spacing w:val="0"/>
          <w:sz w:val="32"/>
          <w:szCs w:val="36"/>
          <w:shd w:val="clear" w:fill="FFFFFF"/>
          <w:lang w:eastAsia="zh-CN"/>
        </w:rPr>
        <w:t>中共工布江达县委员会办公室</w:t>
      </w:r>
      <w:r>
        <w:rPr>
          <w:rFonts w:hint="eastAsia" w:ascii="黑体" w:hAnsi="黑体" w:eastAsia="黑体" w:cs="黑体"/>
          <w:b w:val="0"/>
          <w:bCs w:val="0"/>
          <w:i w:val="0"/>
          <w:iCs w:val="0"/>
          <w:caps w:val="0"/>
          <w:color w:val="000000"/>
          <w:spacing w:val="0"/>
          <w:sz w:val="32"/>
          <w:szCs w:val="36"/>
          <w:shd w:val="clear" w:fill="FFFFFF"/>
        </w:rPr>
        <w:t>2022年度部门决算明细表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0"/>
        <w:jc w:val="both"/>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sz w:val="32"/>
          <w:szCs w:val="32"/>
          <w:shd w:val="clear" w:fill="FFFFFF"/>
        </w:rPr>
        <w:t>一、收入支出决算总表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0"/>
        <w:jc w:val="both"/>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sz w:val="32"/>
          <w:szCs w:val="32"/>
          <w:shd w:val="clear" w:fill="FFFFFF"/>
        </w:rPr>
        <w:t>二、收入决算总表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0"/>
        <w:jc w:val="both"/>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sz w:val="32"/>
          <w:szCs w:val="32"/>
          <w:shd w:val="clear" w:fill="FFFFFF"/>
        </w:rPr>
        <w:t>三、支出决算总表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0"/>
        <w:jc w:val="both"/>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sz w:val="32"/>
          <w:szCs w:val="32"/>
          <w:shd w:val="clear" w:fill="FFFFFF"/>
        </w:rPr>
        <w:t>四、财政拨款收支决算总表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0"/>
        <w:jc w:val="both"/>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sz w:val="32"/>
          <w:szCs w:val="32"/>
          <w:shd w:val="clear" w:fill="FFFFFF"/>
        </w:rPr>
        <w:t>五、一般公共预算财政拨款支出决算表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0"/>
        <w:jc w:val="both"/>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sz w:val="32"/>
          <w:szCs w:val="32"/>
          <w:shd w:val="clear" w:fill="FFFFFF"/>
        </w:rPr>
        <w:t>六、一般公共预算财政拨款基本支出决算表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0"/>
        <w:jc w:val="both"/>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sz w:val="32"/>
          <w:szCs w:val="32"/>
          <w:shd w:val="clear" w:fill="FFFFFF"/>
        </w:rPr>
        <w:t>七、一般公共预算财政拨款“三公”经费支出决算表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0"/>
        <w:jc w:val="both"/>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sz w:val="32"/>
          <w:szCs w:val="32"/>
          <w:shd w:val="clear" w:fill="FFFFFF"/>
        </w:rPr>
        <w:t>八、国有资本经营预算财政拨款收入支出决算表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0"/>
        <w:jc w:val="both"/>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sz w:val="32"/>
          <w:szCs w:val="32"/>
          <w:shd w:val="clear" w:fill="FFFFFF"/>
        </w:rPr>
        <w:t>九、政府性基金预算财政拨款项目支出决算表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3"/>
        <w:jc w:val="both"/>
        <w:textAlignment w:val="auto"/>
        <w:outlineLvl w:val="9"/>
        <w:rPr>
          <w:rFonts w:hint="eastAsia" w:ascii="黑体" w:hAnsi="黑体" w:eastAsia="黑体" w:cs="黑体"/>
          <w:b w:val="0"/>
          <w:bCs w:val="0"/>
          <w:i w:val="0"/>
          <w:iCs w:val="0"/>
          <w:caps w:val="0"/>
          <w:color w:val="000000"/>
          <w:spacing w:val="0"/>
          <w:sz w:val="32"/>
          <w:szCs w:val="36"/>
          <w:shd w:val="clear" w:fill="FFFFFF"/>
        </w:rPr>
      </w:pPr>
      <w:r>
        <w:rPr>
          <w:rFonts w:hint="eastAsia" w:ascii="黑体" w:hAnsi="黑体" w:eastAsia="黑体" w:cs="黑体"/>
          <w:b w:val="0"/>
          <w:bCs w:val="0"/>
          <w:i w:val="0"/>
          <w:iCs w:val="0"/>
          <w:caps w:val="0"/>
          <w:color w:val="000000"/>
          <w:spacing w:val="0"/>
          <w:sz w:val="32"/>
          <w:szCs w:val="36"/>
          <w:shd w:val="clear" w:fill="FFFFFF"/>
        </w:rPr>
        <w:t>第三部分</w:t>
      </w:r>
      <w:r>
        <w:rPr>
          <w:rFonts w:hint="eastAsia" w:ascii="黑体" w:hAnsi="黑体" w:eastAsia="黑体" w:cs="黑体"/>
          <w:b w:val="0"/>
          <w:bCs w:val="0"/>
          <w:i w:val="0"/>
          <w:iCs w:val="0"/>
          <w:caps w:val="0"/>
          <w:color w:val="000000"/>
          <w:spacing w:val="0"/>
          <w:sz w:val="32"/>
          <w:szCs w:val="36"/>
          <w:shd w:val="clear" w:fill="FFFFFF"/>
          <w:lang w:eastAsia="zh-CN"/>
        </w:rPr>
        <w:t>中共工布江达县委员会办公室</w:t>
      </w:r>
      <w:r>
        <w:rPr>
          <w:rFonts w:hint="eastAsia" w:ascii="黑体" w:hAnsi="黑体" w:eastAsia="黑体" w:cs="黑体"/>
          <w:b w:val="0"/>
          <w:bCs w:val="0"/>
          <w:i w:val="0"/>
          <w:iCs w:val="0"/>
          <w:caps w:val="0"/>
          <w:color w:val="000000"/>
          <w:spacing w:val="0"/>
          <w:sz w:val="32"/>
          <w:szCs w:val="36"/>
          <w:shd w:val="clear" w:fill="FFFFFF"/>
        </w:rPr>
        <w:t>2022年度部门决算数据说明</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sz w:val="32"/>
          <w:szCs w:val="32"/>
          <w:shd w:val="clear" w:fill="FFFFFF"/>
        </w:rPr>
        <w:t>一、收入支出总体情况说明</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sz w:val="32"/>
          <w:szCs w:val="32"/>
          <w:shd w:val="clear" w:fill="FFFFFF"/>
        </w:rPr>
        <w:t>二、收入情况说明</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sz w:val="32"/>
          <w:szCs w:val="32"/>
          <w:shd w:val="clear" w:fill="FFFFFF"/>
        </w:rPr>
        <w:t>三、支出情况说明</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sz w:val="32"/>
          <w:szCs w:val="32"/>
          <w:shd w:val="clear" w:fill="FFFFFF"/>
        </w:rPr>
        <w:t>四、一般公共预算财政拨款收入支出总体情况说明</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sz w:val="32"/>
          <w:szCs w:val="32"/>
          <w:shd w:val="clear" w:fill="FFFFFF"/>
        </w:rPr>
        <w:t>五、一般公共预算财政拨款支出情况说明</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sz w:val="32"/>
          <w:szCs w:val="32"/>
          <w:shd w:val="clear" w:fill="FFFFFF"/>
        </w:rPr>
        <w:t>六、一般公共预算财政拨款基本支出情况说明</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sz w:val="32"/>
          <w:szCs w:val="32"/>
          <w:shd w:val="clear" w:fill="FFFFFF"/>
        </w:rPr>
        <w:t>七、一般公共预算财政拨款“三公”经费支出情况说明</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0"/>
        <w:jc w:val="both"/>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sz w:val="32"/>
          <w:szCs w:val="32"/>
          <w:shd w:val="clear" w:fill="FFFFFF"/>
        </w:rPr>
        <w:t>八、国有资本经营预算财政拨款收入支出决算表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0"/>
        <w:jc w:val="both"/>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sz w:val="32"/>
          <w:szCs w:val="32"/>
          <w:shd w:val="clear" w:fill="FFFFFF"/>
        </w:rPr>
        <w:t>九、政府性基金预算财政拨款项目支出决算表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sz w:val="32"/>
          <w:szCs w:val="32"/>
          <w:shd w:val="clear" w:fill="FFFFFF"/>
        </w:rPr>
        <w:t>十、其他重要事项情况说明</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sz w:val="32"/>
          <w:szCs w:val="32"/>
          <w:shd w:val="clear" w:fill="FFFFFF"/>
        </w:rPr>
        <w:t>十一、重点、重大项目信息情况说明</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sz w:val="32"/>
          <w:szCs w:val="32"/>
          <w:shd w:val="clear" w:fill="FFFFFF"/>
        </w:rPr>
        <w:t>十二、举借债务情况说明</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3"/>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黑体" w:hAnsi="黑体" w:eastAsia="黑体" w:cs="黑体"/>
          <w:b w:val="0"/>
          <w:bCs w:val="0"/>
          <w:i w:val="0"/>
          <w:iCs w:val="0"/>
          <w:caps w:val="0"/>
          <w:color w:val="000000"/>
          <w:spacing w:val="0"/>
          <w:kern w:val="0"/>
          <w:sz w:val="32"/>
          <w:szCs w:val="36"/>
          <w:shd w:val="clear" w:fill="FFFFFF"/>
          <w:lang w:val="en-US" w:eastAsia="zh-CN" w:bidi="ar"/>
        </w:rPr>
        <w:t>第四部分  名词解释</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0"/>
        <w:jc w:val="center"/>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黑体" w:hAnsi="宋体" w:eastAsia="仿宋_GB2312" w:cs="黑体"/>
          <w:b/>
          <w:bCs/>
          <w:i w:val="0"/>
          <w:iCs w:val="0"/>
          <w:caps w:val="0"/>
          <w:color w:val="000000"/>
          <w:spacing w:val="0"/>
          <w:kern w:val="0"/>
          <w:sz w:val="32"/>
          <w:szCs w:val="52"/>
          <w:shd w:val="clear" w:fill="FFFFFF"/>
          <w:lang w:val="en-US" w:eastAsia="zh-CN" w:bidi="ar"/>
        </w:rPr>
        <w:t>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b/>
          <w:bCs/>
          <w:i w:val="0"/>
          <w:iCs w:val="0"/>
          <w:caps w:val="0"/>
          <w:color w:val="000000"/>
          <w:spacing w:val="0"/>
          <w:kern w:val="0"/>
          <w:sz w:val="32"/>
          <w:szCs w:val="36"/>
          <w:shd w:val="clear" w:fill="FFFFFF"/>
          <w:lang w:val="en-US" w:eastAsia="zh-CN" w:bidi="ar"/>
        </w:rPr>
        <w:t>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b/>
          <w:bCs/>
          <w:i w:val="0"/>
          <w:iCs w:val="0"/>
          <w:caps w:val="0"/>
          <w:color w:val="000000"/>
          <w:spacing w:val="0"/>
          <w:kern w:val="0"/>
          <w:sz w:val="32"/>
          <w:szCs w:val="36"/>
          <w:shd w:val="clear" w:fill="FFFFFF"/>
          <w:lang w:val="en-US" w:eastAsia="zh-CN" w:bidi="ar"/>
        </w:rPr>
        <w:t>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b/>
          <w:bCs/>
          <w:i w:val="0"/>
          <w:iCs w:val="0"/>
          <w:caps w:val="0"/>
          <w:color w:val="000000"/>
          <w:spacing w:val="0"/>
          <w:kern w:val="0"/>
          <w:sz w:val="32"/>
          <w:szCs w:val="36"/>
          <w:shd w:val="clear" w:fill="FFFFFF"/>
          <w:lang w:val="en-US" w:eastAsia="zh-CN" w:bidi="ar"/>
        </w:rPr>
        <w:t>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b/>
          <w:bCs/>
          <w:i w:val="0"/>
          <w:iCs w:val="0"/>
          <w:caps w:val="0"/>
          <w:color w:val="000000"/>
          <w:spacing w:val="0"/>
          <w:kern w:val="0"/>
          <w:sz w:val="32"/>
          <w:szCs w:val="36"/>
          <w:shd w:val="clear" w:fill="FFFFFF"/>
          <w:lang w:val="en-US" w:eastAsia="zh-CN" w:bidi="ar"/>
        </w:rPr>
        <w:t>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b/>
          <w:bCs/>
          <w:i w:val="0"/>
          <w:iCs w:val="0"/>
          <w:caps w:val="0"/>
          <w:color w:val="000000"/>
          <w:spacing w:val="0"/>
          <w:kern w:val="0"/>
          <w:sz w:val="32"/>
          <w:szCs w:val="36"/>
          <w:shd w:val="clear" w:fill="FFFFFF"/>
          <w:lang w:val="en-US" w:eastAsia="zh-CN" w:bidi="ar"/>
        </w:rPr>
        <w:t>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b/>
          <w:bCs/>
          <w:i w:val="0"/>
          <w:iCs w:val="0"/>
          <w:caps w:val="0"/>
          <w:color w:val="000000"/>
          <w:spacing w:val="0"/>
          <w:kern w:val="0"/>
          <w:sz w:val="32"/>
          <w:szCs w:val="36"/>
          <w:shd w:val="clear" w:fill="FFFFFF"/>
          <w:lang w:val="en-US" w:eastAsia="zh-CN" w:bidi="ar"/>
        </w:rPr>
        <w:t>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b/>
          <w:bCs/>
          <w:i w:val="0"/>
          <w:iCs w:val="0"/>
          <w:caps w:val="0"/>
          <w:color w:val="000000"/>
          <w:spacing w:val="0"/>
          <w:kern w:val="0"/>
          <w:sz w:val="32"/>
          <w:szCs w:val="36"/>
          <w:shd w:val="clear" w:fill="FFFFFF"/>
          <w:lang w:val="en-US" w:eastAsia="zh-CN" w:bidi="ar"/>
        </w:rPr>
        <w:t>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0"/>
        <w:jc w:val="center"/>
        <w:textAlignment w:val="auto"/>
        <w:outlineLvl w:val="9"/>
        <w:rPr>
          <w:rFonts w:hint="eastAsia" w:ascii="黑体" w:hAnsi="宋体" w:eastAsia="仿宋_GB2312" w:cs="黑体"/>
          <w:i w:val="0"/>
          <w:iCs w:val="0"/>
          <w:caps w:val="0"/>
          <w:color w:val="000000"/>
          <w:spacing w:val="0"/>
          <w:kern w:val="0"/>
          <w:sz w:val="32"/>
          <w:szCs w:val="44"/>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0"/>
        <w:jc w:val="center"/>
        <w:textAlignment w:val="auto"/>
        <w:outlineLvl w:val="9"/>
        <w:rPr>
          <w:rFonts w:hint="eastAsia" w:ascii="黑体" w:hAnsi="宋体" w:eastAsia="仿宋_GB2312" w:cs="黑体"/>
          <w:i w:val="0"/>
          <w:iCs w:val="0"/>
          <w:caps w:val="0"/>
          <w:color w:val="000000"/>
          <w:spacing w:val="0"/>
          <w:kern w:val="0"/>
          <w:sz w:val="32"/>
          <w:szCs w:val="44"/>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0"/>
        <w:jc w:val="center"/>
        <w:textAlignment w:val="auto"/>
        <w:outlineLvl w:val="9"/>
        <w:rPr>
          <w:rFonts w:hint="eastAsia" w:ascii="黑体" w:hAnsi="宋体" w:eastAsia="仿宋_GB2312" w:cs="黑体"/>
          <w:i w:val="0"/>
          <w:iCs w:val="0"/>
          <w:caps w:val="0"/>
          <w:color w:val="000000"/>
          <w:spacing w:val="0"/>
          <w:kern w:val="0"/>
          <w:sz w:val="32"/>
          <w:szCs w:val="44"/>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0"/>
        <w:jc w:val="center"/>
        <w:textAlignment w:val="auto"/>
        <w:outlineLvl w:val="9"/>
        <w:rPr>
          <w:rFonts w:hint="eastAsia" w:ascii="黑体" w:hAnsi="宋体" w:eastAsia="仿宋_GB2312" w:cs="黑体"/>
          <w:i w:val="0"/>
          <w:iCs w:val="0"/>
          <w:caps w:val="0"/>
          <w:color w:val="000000"/>
          <w:spacing w:val="0"/>
          <w:kern w:val="0"/>
          <w:sz w:val="32"/>
          <w:szCs w:val="44"/>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0"/>
        <w:jc w:val="both"/>
        <w:textAlignment w:val="auto"/>
        <w:outlineLvl w:val="9"/>
        <w:rPr>
          <w:rFonts w:hint="eastAsia" w:ascii="黑体" w:hAnsi="宋体" w:eastAsia="仿宋_GB2312" w:cs="黑体"/>
          <w:i w:val="0"/>
          <w:iCs w:val="0"/>
          <w:caps w:val="0"/>
          <w:color w:val="000000"/>
          <w:spacing w:val="0"/>
          <w:kern w:val="0"/>
          <w:sz w:val="32"/>
          <w:szCs w:val="44"/>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0"/>
        <w:jc w:val="center"/>
        <w:textAlignment w:val="auto"/>
        <w:outlineLvl w:val="9"/>
        <w:rPr>
          <w:rFonts w:hint="eastAsia" w:ascii="方正小标宋简体" w:hAnsi="方正小标宋简体" w:eastAsia="方正小标宋简体" w:cs="方正小标宋简体"/>
          <w:i w:val="0"/>
          <w:iCs w:val="0"/>
          <w:caps w:val="0"/>
          <w:color w:val="000000"/>
          <w:spacing w:val="0"/>
          <w:kern w:val="0"/>
          <w:sz w:val="44"/>
          <w:szCs w:val="44"/>
          <w:shd w:val="clear" w:fill="FFFFFF"/>
          <w:lang w:val="en-US" w:eastAsia="zh-CN" w:bidi="ar"/>
        </w:rPr>
      </w:pPr>
      <w:r>
        <w:rPr>
          <w:rFonts w:hint="eastAsia" w:ascii="方正小标宋简体" w:hAnsi="方正小标宋简体" w:eastAsia="方正小标宋简体" w:cs="方正小标宋简体"/>
          <w:i w:val="0"/>
          <w:iCs w:val="0"/>
          <w:caps w:val="0"/>
          <w:color w:val="000000"/>
          <w:spacing w:val="0"/>
          <w:kern w:val="0"/>
          <w:sz w:val="44"/>
          <w:szCs w:val="44"/>
          <w:shd w:val="clear" w:fill="FFFFFF"/>
          <w:lang w:val="en-US" w:eastAsia="zh-CN" w:bidi="ar"/>
        </w:rPr>
        <w:t>第一部分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0"/>
        <w:jc w:val="center"/>
        <w:textAlignment w:val="auto"/>
        <w:outlineLvl w:val="9"/>
        <w:rPr>
          <w:rFonts w:hint="eastAsia" w:ascii="方正小标宋简体" w:hAnsi="方正小标宋简体" w:eastAsia="方正小标宋简体" w:cs="方正小标宋简体"/>
          <w:i w:val="0"/>
          <w:iCs w:val="0"/>
          <w:caps w:val="0"/>
          <w:color w:val="000000"/>
          <w:spacing w:val="0"/>
          <w:kern w:val="0"/>
          <w:sz w:val="44"/>
          <w:szCs w:val="44"/>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0"/>
        <w:jc w:val="center"/>
        <w:textAlignment w:val="auto"/>
        <w:outlineLvl w:val="9"/>
        <w:rPr>
          <w:rFonts w:hint="eastAsia" w:ascii="方正小标宋简体" w:hAnsi="方正小标宋简体" w:eastAsia="方正小标宋简体" w:cs="方正小标宋简体"/>
          <w:i w:val="0"/>
          <w:iCs w:val="0"/>
          <w:caps w:val="0"/>
          <w:color w:val="000000"/>
          <w:spacing w:val="0"/>
          <w:kern w:val="0"/>
          <w:sz w:val="44"/>
          <w:szCs w:val="44"/>
          <w:shd w:val="clear" w:fill="FFFFFF"/>
          <w:lang w:val="en-US" w:eastAsia="zh-CN" w:bidi="ar"/>
        </w:rPr>
      </w:pPr>
      <w:r>
        <w:rPr>
          <w:rFonts w:hint="eastAsia" w:ascii="方正小标宋简体" w:hAnsi="方正小标宋简体" w:eastAsia="方正小标宋简体" w:cs="方正小标宋简体"/>
          <w:i w:val="0"/>
          <w:iCs w:val="0"/>
          <w:caps w:val="0"/>
          <w:color w:val="000000"/>
          <w:spacing w:val="0"/>
          <w:kern w:val="0"/>
          <w:sz w:val="44"/>
          <w:szCs w:val="44"/>
          <w:shd w:val="clear" w:fill="FFFFFF"/>
          <w:lang w:val="en-US" w:eastAsia="zh-CN" w:bidi="ar"/>
        </w:rPr>
        <w:t>中共工布江达县委员会办公室</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0"/>
        <w:jc w:val="center"/>
        <w:textAlignment w:val="auto"/>
        <w:outlineLvl w:val="9"/>
        <w:rPr>
          <w:rFonts w:hint="eastAsia" w:ascii="方正小标宋简体" w:hAnsi="方正小标宋简体" w:eastAsia="方正小标宋简体" w:cs="方正小标宋简体"/>
          <w:i w:val="0"/>
          <w:iCs w:val="0"/>
          <w:caps w:val="0"/>
          <w:color w:val="000000"/>
          <w:spacing w:val="0"/>
          <w:kern w:val="0"/>
          <w:sz w:val="44"/>
          <w:szCs w:val="44"/>
          <w:shd w:val="clear" w:fill="FFFFFF"/>
          <w:lang w:val="en-US" w:eastAsia="zh-CN" w:bidi="ar"/>
        </w:rPr>
      </w:pPr>
      <w:r>
        <w:rPr>
          <w:rFonts w:hint="eastAsia" w:ascii="方正小标宋简体" w:hAnsi="方正小标宋简体" w:eastAsia="方正小标宋简体" w:cs="方正小标宋简体"/>
          <w:i w:val="0"/>
          <w:iCs w:val="0"/>
          <w:caps w:val="0"/>
          <w:color w:val="000000"/>
          <w:spacing w:val="0"/>
          <w:kern w:val="0"/>
          <w:sz w:val="44"/>
          <w:szCs w:val="44"/>
          <w:shd w:val="clear" w:fill="FFFFFF"/>
          <w:lang w:val="en-US" w:eastAsia="zh-CN" w:bidi="ar"/>
        </w:rPr>
        <w:t>概况</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0"/>
        <w:jc w:val="center"/>
        <w:textAlignment w:val="auto"/>
        <w:outlineLvl w:val="9"/>
        <w:rPr>
          <w:rFonts w:hint="eastAsia" w:ascii="方正小标宋简体" w:hAnsi="方正小标宋简体" w:eastAsia="方正小标宋简体" w:cs="方正小标宋简体"/>
          <w:i w:val="0"/>
          <w:iCs w:val="0"/>
          <w:caps w:val="0"/>
          <w:color w:val="000000"/>
          <w:spacing w:val="0"/>
          <w:kern w:val="0"/>
          <w:sz w:val="44"/>
          <w:szCs w:val="44"/>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643"/>
        <w:jc w:val="left"/>
        <w:textAlignment w:val="auto"/>
        <w:outlineLvl w:val="9"/>
        <w:rPr>
          <w:rFonts w:hint="eastAsia" w:ascii="黑体" w:hAnsi="黑体" w:eastAsia="黑体" w:cs="黑体"/>
          <w:b w:val="0"/>
          <w:bCs w:val="0"/>
          <w:i w:val="0"/>
          <w:iCs w:val="0"/>
          <w:caps w:val="0"/>
          <w:color w:val="000000"/>
          <w:spacing w:val="0"/>
          <w:sz w:val="32"/>
          <w:szCs w:val="24"/>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一、部门决算单位构成</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64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中共工布江达县委员会办公室作为一个单位纳入2022年部门决算编制范围。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leftChars="0" w:right="0" w:rightChars="0" w:firstLine="640" w:firstLineChars="200"/>
        <w:jc w:val="left"/>
        <w:textAlignment w:val="auto"/>
        <w:outlineLvl w:val="9"/>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二、部门职责和机构设置</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 xml:space="preserve"> </w:t>
      </w:r>
      <w:r>
        <w:rPr>
          <w:rFonts w:hint="eastAsia" w:ascii="楷体_GB2312" w:hAnsi="楷体_GB2312" w:eastAsia="楷体_GB2312" w:cs="楷体_GB2312"/>
          <w:b/>
          <w:bCs/>
          <w:i w:val="0"/>
          <w:iCs w:val="0"/>
          <w:caps w:val="0"/>
          <w:color w:val="000000"/>
          <w:spacing w:val="0"/>
          <w:kern w:val="0"/>
          <w:sz w:val="32"/>
          <w:szCs w:val="32"/>
          <w:shd w:val="clear" w:fill="FFFFFF"/>
          <w:lang w:val="en-US" w:eastAsia="zh-CN" w:bidi="ar"/>
        </w:rPr>
        <w:t>一、部门预算单位构成</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 xml:space="preserve"> 中共工布江达县委员会办公室（以下简称县委办公室）是县委的综合部门，为正科级，负责推动县委决策部署的落实，按照县委要求协调有关方面开展工作，承担县委运行保障具体事宜，加挂县委保密委员会办公室、县国家保密局、县档案局牌子。县委全面深化改革委员会办公室设在县委办公室，接受县委全面深化改革委员会的直接领导，承担县委全面深化改革委员会具体工作，研究提出全县深化改革中坚持党的领导、加强党的建设的政策建议，组织研究县深化改革工作规划、重大政策和改革方案，协调推进和督促落实县委、县委全面深化改革委员会决策部署和要求等。</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0"/>
        <w:jc w:val="left"/>
        <w:textAlignment w:val="auto"/>
        <w:outlineLvl w:val="9"/>
        <w:rPr>
          <w:rFonts w:hint="eastAsia" w:ascii="楷体_GB2312" w:hAnsi="楷体_GB2312" w:eastAsia="楷体_GB2312" w:cs="楷体_GB2312"/>
          <w:b/>
          <w:bCs/>
          <w:i w:val="0"/>
          <w:iCs w:val="0"/>
          <w:caps w:val="0"/>
          <w:color w:val="000000"/>
          <w:spacing w:val="0"/>
          <w:sz w:val="32"/>
          <w:szCs w:val="24"/>
        </w:rPr>
      </w:pPr>
      <w:r>
        <w:rPr>
          <w:rFonts w:hint="eastAsia" w:ascii="楷体_GB2312" w:hAnsi="楷体_GB2312" w:eastAsia="楷体_GB2312" w:cs="楷体_GB2312"/>
          <w:b/>
          <w:bCs/>
          <w:i w:val="0"/>
          <w:iCs w:val="0"/>
          <w:caps w:val="0"/>
          <w:color w:val="000000"/>
          <w:spacing w:val="0"/>
          <w:kern w:val="0"/>
          <w:sz w:val="32"/>
          <w:szCs w:val="32"/>
          <w:shd w:val="clear" w:fill="FFFFFF"/>
          <w:lang w:val="en-US" w:eastAsia="zh-CN" w:bidi="ar"/>
        </w:rPr>
        <w:t xml:space="preserve"> 二、部门职责及机构设置</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0"/>
        <w:jc w:val="left"/>
        <w:textAlignment w:val="auto"/>
        <w:outlineLvl w:val="9"/>
        <w:rPr>
          <w:rFonts w:hint="eastAsia" w:ascii="微软雅黑" w:hAnsi="微软雅黑" w:eastAsia="仿宋_GB2312" w:cs="微软雅黑"/>
          <w:b/>
          <w:bCs/>
          <w:i w:val="0"/>
          <w:iCs w:val="0"/>
          <w:caps w:val="0"/>
          <w:color w:val="000000"/>
          <w:spacing w:val="0"/>
          <w:sz w:val="32"/>
          <w:szCs w:val="24"/>
        </w:rPr>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（一）主要职责</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 xml:space="preserve"> 1、负责起草或组织起草以县委或县委办公室名义向市委办公室报送的综合性材料；负责起草或组织起草以县委或县委办公室名义印发规。范性文件；负责县委和县委领导同志的文稿服务工作；保证县委日常工作正常运转。</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 xml:space="preserve"> 2、负责党中央、区党委、市委和县委重大方针政策、重要工作部署、重要会议、文件精神贯彻落实情况的督促检查；负责县委领导同志指示、批示的督办、统筹协调党委系统人大代表建议、政协提案办复工作。</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 xml:space="preserve"> 3、负责围绕县委重要决策和工作部署，开展调查研究、信息综合，为县委决策提供依据和服务；负责向区党委、市委及县委报送信息工作。</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 xml:space="preserve"> 4、负责向县委领导同志报告重要情况，协助处理重要问题，承办县委文电、机要档案等工作；负责县委与市委、政府、市直有关部门及县直有关部门、各乡（镇）党委的协调联络工作；协调县人大、政府、政协办公室的工作。</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 xml:space="preserve"> 5、负责县委常委会会议等各类重要会议的会议工作；负责协调安排县委领导的各类重要公务活动。</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 xml:space="preserve"> 6、负责全县保密工作规划、宣传教育、监督管理和失泄密案件查处工作；负责涉密通信、计算机信息系统的技术防范和审批管理工作。</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 xml:space="preserve"> 7、负责落实县委及班子成员的主体责任工作。</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 xml:space="preserve"> 8、负责全县档案工作的统筹规划、宏观管理，对全县档案工作进行监督检查和业务指导；负责县直机关、群团机关、企事业单位档案的接收、整理、保管、利用工作。</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9、负责管理党史，组织地方志资料征集、编研工作。</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10、管理县委机要局（县密码管理局）、县档案馆。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11、完成县委及上级相关部门交办的其他任务。</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0"/>
        <w:jc w:val="left"/>
        <w:textAlignment w:val="auto"/>
        <w:outlineLvl w:val="9"/>
        <w:rPr>
          <w:rFonts w:hint="eastAsia" w:ascii="微软雅黑" w:hAnsi="微软雅黑" w:eastAsia="仿宋_GB2312" w:cs="微软雅黑"/>
          <w:b/>
          <w:bCs/>
          <w:i w:val="0"/>
          <w:iCs w:val="0"/>
          <w:caps w:val="0"/>
          <w:color w:val="000000"/>
          <w:spacing w:val="0"/>
          <w:sz w:val="32"/>
          <w:szCs w:val="24"/>
        </w:rPr>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（二）机构设置</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县委办公室为行政编制。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36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kern w:val="0"/>
          <w:sz w:val="32"/>
          <w:szCs w:val="24"/>
          <w:shd w:val="clear" w:fill="FFFFFF"/>
          <w:lang w:val="en-US" w:eastAsia="zh-CN" w:bidi="ar"/>
        </w:rPr>
        <w:t>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36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kern w:val="0"/>
          <w:sz w:val="32"/>
          <w:szCs w:val="24"/>
          <w:shd w:val="clear" w:fill="FFFFFF"/>
          <w:lang w:val="en-US" w:eastAsia="zh-CN" w:bidi="ar"/>
        </w:rPr>
        <w:t>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36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kern w:val="0"/>
          <w:sz w:val="32"/>
          <w:szCs w:val="24"/>
          <w:shd w:val="clear" w:fill="FFFFFF"/>
          <w:lang w:val="en-US" w:eastAsia="zh-CN" w:bidi="ar"/>
        </w:rPr>
        <w:t>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36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kern w:val="0"/>
          <w:sz w:val="32"/>
          <w:szCs w:val="24"/>
          <w:shd w:val="clear" w:fill="FFFFFF"/>
          <w:lang w:val="en-US" w:eastAsia="zh-CN" w:bidi="ar"/>
        </w:rPr>
        <w:t>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36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kern w:val="0"/>
          <w:sz w:val="32"/>
          <w:szCs w:val="24"/>
          <w:shd w:val="clear" w:fill="FFFFFF"/>
          <w:lang w:val="en-US" w:eastAsia="zh-CN" w:bidi="ar"/>
        </w:rPr>
        <w:t>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36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kern w:val="0"/>
          <w:sz w:val="32"/>
          <w:szCs w:val="24"/>
          <w:shd w:val="clear" w:fill="FFFFFF"/>
          <w:lang w:val="en-US" w:eastAsia="zh-CN" w:bidi="ar"/>
        </w:rPr>
        <w:t>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36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kern w:val="0"/>
          <w:sz w:val="32"/>
          <w:szCs w:val="24"/>
          <w:shd w:val="clear" w:fill="FFFFFF"/>
          <w:lang w:val="en-US" w:eastAsia="zh-CN" w:bidi="ar"/>
        </w:rPr>
        <w:t>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36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kern w:val="0"/>
          <w:sz w:val="32"/>
          <w:szCs w:val="24"/>
          <w:shd w:val="clear" w:fill="FFFFFF"/>
          <w:lang w:val="en-US" w:eastAsia="zh-CN" w:bidi="ar"/>
        </w:rPr>
        <w:t>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36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kern w:val="0"/>
          <w:sz w:val="32"/>
          <w:szCs w:val="24"/>
          <w:shd w:val="clear" w:fill="FFFFFF"/>
          <w:lang w:val="en-US" w:eastAsia="zh-CN" w:bidi="ar"/>
        </w:rPr>
        <w:t>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36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kern w:val="0"/>
          <w:sz w:val="32"/>
          <w:szCs w:val="24"/>
          <w:shd w:val="clear" w:fill="FFFFFF"/>
          <w:lang w:val="en-US" w:eastAsia="zh-CN" w:bidi="ar"/>
        </w:rPr>
        <w:t>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36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kern w:val="0"/>
          <w:sz w:val="32"/>
          <w:szCs w:val="24"/>
          <w:shd w:val="clear" w:fill="FFFFFF"/>
          <w:lang w:val="en-US" w:eastAsia="zh-CN" w:bidi="ar"/>
        </w:rPr>
        <w:t>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36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kern w:val="0"/>
          <w:sz w:val="32"/>
          <w:szCs w:val="24"/>
          <w:shd w:val="clear" w:fill="FFFFFF"/>
          <w:lang w:val="en-US" w:eastAsia="zh-CN" w:bidi="ar"/>
        </w:rPr>
        <w:t>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36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kern w:val="0"/>
          <w:sz w:val="32"/>
          <w:szCs w:val="24"/>
          <w:shd w:val="clear" w:fill="FFFFFF"/>
          <w:lang w:val="en-US" w:eastAsia="zh-CN" w:bidi="ar"/>
        </w:rPr>
        <w:t>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36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kern w:val="0"/>
          <w:sz w:val="32"/>
          <w:szCs w:val="24"/>
          <w:shd w:val="clear" w:fill="FFFFFF"/>
          <w:lang w:val="en-US" w:eastAsia="zh-CN" w:bidi="ar"/>
        </w:rPr>
        <w:t>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36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kern w:val="0"/>
          <w:sz w:val="32"/>
          <w:szCs w:val="24"/>
          <w:shd w:val="clear" w:fill="FFFFFF"/>
          <w:lang w:val="en-US" w:eastAsia="zh-CN" w:bidi="ar"/>
        </w:rPr>
        <w:t>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36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kern w:val="0"/>
          <w:sz w:val="32"/>
          <w:szCs w:val="24"/>
          <w:shd w:val="clear" w:fill="FFFFFF"/>
          <w:lang w:val="en-US" w:eastAsia="zh-CN" w:bidi="ar"/>
        </w:rPr>
        <w:t>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0"/>
        <w:jc w:val="center"/>
        <w:textAlignment w:val="auto"/>
        <w:outlineLvl w:val="9"/>
        <w:rPr>
          <w:rFonts w:hint="eastAsia" w:ascii="方正小标宋简体" w:hAnsi="方正小标宋简体" w:eastAsia="方正小标宋简体" w:cs="方正小标宋简体"/>
          <w:i w:val="0"/>
          <w:iCs w:val="0"/>
          <w:caps w:val="0"/>
          <w:color w:val="000000"/>
          <w:spacing w:val="0"/>
          <w:kern w:val="0"/>
          <w:sz w:val="44"/>
          <w:szCs w:val="44"/>
          <w:shd w:val="clear" w:fill="FFFFFF"/>
          <w:lang w:val="en-US" w:eastAsia="zh-CN" w:bidi="ar"/>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1280" w:right="0" w:hanging="1760"/>
        <w:jc w:val="center"/>
        <w:textAlignment w:val="auto"/>
        <w:outlineLvl w:val="9"/>
        <w:rPr>
          <w:rFonts w:hint="eastAsia" w:ascii="方正小标宋简体" w:hAnsi="方正小标宋简体" w:eastAsia="方正小标宋简体" w:cs="方正小标宋简体"/>
          <w:i w:val="0"/>
          <w:iCs w:val="0"/>
          <w:caps w:val="0"/>
          <w:color w:val="000000"/>
          <w:spacing w:val="0"/>
          <w:kern w:val="0"/>
          <w:sz w:val="44"/>
          <w:szCs w:val="44"/>
          <w:shd w:val="clear" w:fill="FFFFFF"/>
          <w:lang w:val="en-US" w:eastAsia="zh-CN" w:bidi="ar"/>
        </w:rPr>
      </w:pPr>
      <w:r>
        <w:rPr>
          <w:rFonts w:hint="eastAsia" w:ascii="方正小标宋简体" w:hAnsi="方正小标宋简体" w:eastAsia="方正小标宋简体" w:cs="方正小标宋简体"/>
          <w:i w:val="0"/>
          <w:iCs w:val="0"/>
          <w:caps w:val="0"/>
          <w:color w:val="000000"/>
          <w:spacing w:val="0"/>
          <w:kern w:val="0"/>
          <w:sz w:val="44"/>
          <w:szCs w:val="44"/>
          <w:shd w:val="clear" w:fill="FFFFFF"/>
          <w:lang w:val="en-US" w:eastAsia="zh-CN" w:bidi="ar"/>
        </w:rPr>
        <w:t>第二部分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1280" w:right="0" w:hanging="1760"/>
        <w:jc w:val="center"/>
        <w:textAlignment w:val="auto"/>
        <w:outlineLvl w:val="9"/>
        <w:rPr>
          <w:rFonts w:hint="eastAsia" w:ascii="方正小标宋简体" w:hAnsi="方正小标宋简体" w:eastAsia="方正小标宋简体" w:cs="方正小标宋简体"/>
          <w:i w:val="0"/>
          <w:iCs w:val="0"/>
          <w:caps w:val="0"/>
          <w:color w:val="000000"/>
          <w:spacing w:val="0"/>
          <w:kern w:val="0"/>
          <w:sz w:val="44"/>
          <w:szCs w:val="44"/>
          <w:shd w:val="clear" w:fill="FFFFFF"/>
          <w:lang w:val="en-US" w:eastAsia="zh-CN" w:bidi="ar"/>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1280" w:right="0" w:hanging="1760"/>
        <w:jc w:val="center"/>
        <w:textAlignment w:val="auto"/>
        <w:outlineLvl w:val="9"/>
        <w:rPr>
          <w:rFonts w:hint="eastAsia" w:ascii="方正小标宋简体" w:hAnsi="方正小标宋简体" w:eastAsia="方正小标宋简体" w:cs="方正小标宋简体"/>
          <w:i w:val="0"/>
          <w:iCs w:val="0"/>
          <w:caps w:val="0"/>
          <w:color w:val="000000"/>
          <w:spacing w:val="0"/>
          <w:kern w:val="0"/>
          <w:sz w:val="44"/>
          <w:szCs w:val="44"/>
          <w:shd w:val="clear" w:fill="FFFFFF"/>
          <w:lang w:val="en-US" w:eastAsia="zh-CN" w:bidi="ar"/>
        </w:rPr>
      </w:pPr>
      <w:r>
        <w:rPr>
          <w:rFonts w:hint="eastAsia" w:ascii="方正小标宋简体" w:hAnsi="方正小标宋简体" w:eastAsia="方正小标宋简体" w:cs="方正小标宋简体"/>
          <w:i w:val="0"/>
          <w:iCs w:val="0"/>
          <w:caps w:val="0"/>
          <w:color w:val="000000"/>
          <w:spacing w:val="0"/>
          <w:sz w:val="44"/>
          <w:szCs w:val="44"/>
          <w:shd w:val="clear" w:fill="FFFFFF"/>
        </w:rPr>
        <w:t>中共工布江达县委员会</w:t>
      </w:r>
      <w:r>
        <w:rPr>
          <w:rFonts w:hint="eastAsia" w:ascii="方正小标宋简体" w:hAnsi="方正小标宋简体" w:eastAsia="方正小标宋简体" w:cs="方正小标宋简体"/>
          <w:i w:val="0"/>
          <w:iCs w:val="0"/>
          <w:caps w:val="0"/>
          <w:color w:val="000000"/>
          <w:spacing w:val="0"/>
          <w:sz w:val="44"/>
          <w:szCs w:val="44"/>
          <w:shd w:val="clear" w:fill="FFFFFF"/>
          <w:lang w:eastAsia="zh-CN"/>
        </w:rPr>
        <w:t>办公室</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0"/>
        <w:jc w:val="center"/>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方正小标宋简体" w:hAnsi="方正小标宋简体" w:eastAsia="方正小标宋简体" w:cs="方正小标宋简体"/>
          <w:i w:val="0"/>
          <w:iCs w:val="0"/>
          <w:caps w:val="0"/>
          <w:color w:val="000000"/>
          <w:spacing w:val="0"/>
          <w:kern w:val="0"/>
          <w:sz w:val="44"/>
          <w:szCs w:val="44"/>
          <w:shd w:val="clear" w:fill="FFFFFF"/>
          <w:lang w:val="en-US" w:eastAsia="zh-CN" w:bidi="ar"/>
        </w:rPr>
        <w:t>2022年度部门决算明细表</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0"/>
        <w:jc w:val="center"/>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黑体" w:hAnsi="宋体" w:eastAsia="仿宋_GB2312" w:cs="黑体"/>
          <w:i w:val="0"/>
          <w:iCs w:val="0"/>
          <w:caps w:val="0"/>
          <w:color w:val="000000"/>
          <w:spacing w:val="0"/>
          <w:kern w:val="0"/>
          <w:sz w:val="32"/>
          <w:szCs w:val="44"/>
          <w:shd w:val="clear" w:fill="FFFFFF"/>
          <w:lang w:val="en-US" w:eastAsia="zh-CN" w:bidi="ar"/>
        </w:rPr>
        <w:t>（详见附表）</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黑体" w:hAnsi="宋体" w:eastAsia="仿宋_GB2312" w:cs="黑体"/>
          <w:i w:val="0"/>
          <w:iCs w:val="0"/>
          <w:caps w:val="0"/>
          <w:color w:val="000000"/>
          <w:spacing w:val="0"/>
          <w:kern w:val="0"/>
          <w:sz w:val="32"/>
          <w:szCs w:val="32"/>
          <w:shd w:val="clear" w:fill="FFFFFF"/>
          <w:lang w:val="en-US" w:eastAsia="zh-CN" w:bidi="ar"/>
        </w:rPr>
        <w:t>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1280" w:right="0" w:hanging="1760"/>
        <w:jc w:val="center"/>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黑体" w:hAnsi="宋体" w:eastAsia="仿宋_GB2312" w:cs="黑体"/>
          <w:i w:val="0"/>
          <w:iCs w:val="0"/>
          <w:caps w:val="0"/>
          <w:color w:val="000000"/>
          <w:spacing w:val="0"/>
          <w:sz w:val="32"/>
          <w:szCs w:val="44"/>
          <w:shd w:val="clear" w:fill="FFFFFF"/>
        </w:rPr>
        <w:t>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1280" w:right="0" w:hanging="176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r>
        <w:rPr>
          <w:rFonts w:hint="eastAsia" w:ascii="方正小标宋简体" w:hAnsi="方正小标宋简体" w:eastAsia="方正小标宋简体" w:cs="方正小标宋简体"/>
          <w:i w:val="0"/>
          <w:iCs w:val="0"/>
          <w:caps w:val="0"/>
          <w:color w:val="000000"/>
          <w:spacing w:val="0"/>
          <w:sz w:val="44"/>
          <w:szCs w:val="44"/>
          <w:shd w:val="clear" w:fill="FFFFFF"/>
        </w:rPr>
        <w:t>第三部分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1280" w:right="0" w:hanging="176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1280" w:right="0" w:hanging="176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r>
        <w:rPr>
          <w:rFonts w:hint="eastAsia" w:ascii="方正小标宋简体" w:hAnsi="方正小标宋简体" w:eastAsia="方正小标宋简体" w:cs="方正小标宋简体"/>
          <w:i w:val="0"/>
          <w:iCs w:val="0"/>
          <w:caps w:val="0"/>
          <w:color w:val="000000"/>
          <w:spacing w:val="0"/>
          <w:sz w:val="44"/>
          <w:szCs w:val="44"/>
          <w:shd w:val="clear" w:fill="FFFFFF"/>
        </w:rPr>
        <w:t>中共工布江达县委员会</w:t>
      </w:r>
      <w:r>
        <w:rPr>
          <w:rFonts w:hint="eastAsia" w:ascii="方正小标宋简体" w:hAnsi="方正小标宋简体" w:eastAsia="方正小标宋简体" w:cs="方正小标宋简体"/>
          <w:i w:val="0"/>
          <w:iCs w:val="0"/>
          <w:caps w:val="0"/>
          <w:color w:val="000000"/>
          <w:spacing w:val="0"/>
          <w:sz w:val="44"/>
          <w:szCs w:val="44"/>
          <w:shd w:val="clear" w:fill="FFFFFF"/>
          <w:lang w:eastAsia="zh-CN"/>
        </w:rPr>
        <w:t>办公室</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1280" w:right="0" w:hanging="176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rPr>
      </w:pPr>
      <w:r>
        <w:rPr>
          <w:rFonts w:hint="eastAsia" w:ascii="方正小标宋简体" w:hAnsi="方正小标宋简体" w:eastAsia="方正小标宋简体" w:cs="方正小标宋简体"/>
          <w:i w:val="0"/>
          <w:iCs w:val="0"/>
          <w:caps w:val="0"/>
          <w:color w:val="000000"/>
          <w:spacing w:val="0"/>
          <w:sz w:val="44"/>
          <w:szCs w:val="44"/>
          <w:shd w:val="clear" w:fill="FFFFFF"/>
        </w:rPr>
        <w:t>2022年度部门决算数据说明</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542"/>
        <w:jc w:val="left"/>
        <w:textAlignment w:val="auto"/>
        <w:outlineLvl w:val="9"/>
        <w:rPr>
          <w:rFonts w:hint="eastAsia" w:ascii="仿宋" w:hAnsi="仿宋" w:eastAsia="仿宋_GB2312" w:cs="仿宋"/>
          <w:b/>
          <w:bCs/>
          <w:i w:val="0"/>
          <w:iCs w:val="0"/>
          <w:caps w:val="0"/>
          <w:color w:val="000000"/>
          <w:spacing w:val="0"/>
          <w:kern w:val="0"/>
          <w:sz w:val="32"/>
          <w:szCs w:val="36"/>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542"/>
        <w:jc w:val="left"/>
        <w:textAlignment w:val="auto"/>
        <w:outlineLvl w:val="9"/>
        <w:rPr>
          <w:rFonts w:hint="eastAsia" w:ascii="黑体" w:hAnsi="黑体" w:eastAsia="黑体" w:cs="黑体"/>
          <w:b w:val="0"/>
          <w:bCs w:val="0"/>
          <w:i w:val="0"/>
          <w:iCs w:val="0"/>
          <w:caps w:val="0"/>
          <w:color w:val="000000"/>
          <w:spacing w:val="0"/>
          <w:sz w:val="32"/>
          <w:szCs w:val="24"/>
        </w:rPr>
      </w:pPr>
      <w:r>
        <w:rPr>
          <w:rFonts w:hint="eastAsia" w:ascii="黑体" w:hAnsi="黑体" w:eastAsia="黑体" w:cs="黑体"/>
          <w:b w:val="0"/>
          <w:bCs w:val="0"/>
          <w:i w:val="0"/>
          <w:iCs w:val="0"/>
          <w:caps w:val="0"/>
          <w:color w:val="000000"/>
          <w:spacing w:val="0"/>
          <w:kern w:val="0"/>
          <w:sz w:val="32"/>
          <w:szCs w:val="36"/>
          <w:shd w:val="clear" w:fill="FFFFFF"/>
          <w:lang w:val="en-US" w:eastAsia="zh-CN" w:bidi="ar"/>
        </w:rPr>
        <w:t xml:space="preserve"> 一、2022年度收入支出总体情况说明</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leftChars="0" w:right="0" w:rightChars="0" w:firstLine="640"/>
        <w:jc w:val="both"/>
        <w:textAlignment w:val="auto"/>
        <w:outlineLvl w:val="9"/>
        <w:rPr>
          <w:rFonts w:hint="eastAsia" w:ascii="仿宋_GB2312" w:hAnsi="仿宋_GB2312" w:eastAsia="仿宋_GB2312" w:cs="仿宋_GB2312"/>
          <w:i w:val="0"/>
          <w:iCs w:val="0"/>
          <w:caps w:val="0"/>
          <w:color w:val="auto"/>
          <w:spacing w:val="0"/>
          <w:kern w:val="0"/>
          <w:sz w:val="32"/>
          <w:szCs w:val="32"/>
          <w:shd w:val="clear" w:fill="FFFFFF"/>
          <w:lang w:val="en-US" w:eastAsia="zh-CN" w:bidi="ar"/>
        </w:rPr>
      </w:pPr>
      <w:r>
        <w:rPr>
          <w:rFonts w:hint="eastAsia" w:ascii="仿宋_GB2312" w:hAnsi="仿宋_GB2312" w:eastAsia="仿宋_GB2312" w:cs="仿宋_GB2312"/>
          <w:i w:val="0"/>
          <w:iCs w:val="0"/>
          <w:caps w:val="0"/>
          <w:color w:val="auto"/>
          <w:spacing w:val="0"/>
          <w:kern w:val="0"/>
          <w:sz w:val="32"/>
          <w:szCs w:val="32"/>
          <w:shd w:val="clear" w:fill="FFFFFF"/>
          <w:lang w:val="en-US" w:eastAsia="zh-CN" w:bidi="ar"/>
        </w:rPr>
        <w:t>中共工布江达县委员会办公室2022年度收入总计9425757.13元（其中年初结转和结余53306元），比2021年增加965590.18元，同比增加11.41%，增加主要因为2022年度人员工资调增及补发、单位项目、社保和公积金基数等增加。支出合计9425757.13元，年末无结转和结余。支出合计比2021年增加1091110.83元，增长13.09%，增加原因主要为当年单位项目、</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right="0" w:rightChars="0"/>
        <w:jc w:val="both"/>
        <w:textAlignment w:val="auto"/>
        <w:outlineLvl w:val="9"/>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kern w:val="0"/>
          <w:sz w:val="32"/>
          <w:szCs w:val="32"/>
          <w:shd w:val="clear" w:fill="FFFFFF"/>
          <w:lang w:val="en-US" w:eastAsia="zh-CN" w:bidi="ar"/>
        </w:rPr>
        <w:t>社保和公积金基数等增加，人员工资调增及补发。</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right="0" w:rightChars="0"/>
        <w:jc w:val="left"/>
        <w:textAlignment w:val="auto"/>
        <w:outlineLvl w:val="9"/>
        <w:rPr>
          <w:rFonts w:hint="eastAsia" w:ascii="黑体" w:hAnsi="黑体" w:eastAsia="黑体" w:cs="黑体"/>
          <w:b w:val="0"/>
          <w:bCs w:val="0"/>
          <w:i w:val="0"/>
          <w:iCs w:val="0"/>
          <w:caps w:val="0"/>
          <w:color w:val="auto"/>
          <w:spacing w:val="0"/>
          <w:sz w:val="32"/>
          <w:szCs w:val="24"/>
        </w:rPr>
      </w:pPr>
      <w:r>
        <w:rPr>
          <w:rFonts w:hint="eastAsia" w:ascii="黑体" w:hAnsi="黑体" w:eastAsia="黑体" w:cs="黑体"/>
          <w:b w:val="0"/>
          <w:bCs w:val="0"/>
          <w:i w:val="0"/>
          <w:iCs w:val="0"/>
          <w:caps w:val="0"/>
          <w:color w:val="auto"/>
          <w:spacing w:val="0"/>
          <w:kern w:val="0"/>
          <w:sz w:val="32"/>
          <w:szCs w:val="36"/>
          <w:shd w:val="clear" w:fill="FFFFFF"/>
          <w:lang w:val="en-US" w:eastAsia="zh-CN" w:bidi="ar"/>
        </w:rPr>
        <w:t xml:space="preserve">    二、2022年度收入情况说明</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leftChars="0" w:right="0" w:rightChars="0" w:firstLine="480"/>
        <w:jc w:val="both"/>
        <w:textAlignment w:val="auto"/>
        <w:outlineLvl w:val="9"/>
        <w:rPr>
          <w:rFonts w:hint="eastAsia" w:ascii="仿宋_GB2312" w:hAnsi="微软雅黑" w:eastAsia="仿宋_GB2312" w:cs="仿宋_GB2312"/>
          <w:i w:val="0"/>
          <w:iCs w:val="0"/>
          <w:caps w:val="0"/>
          <w:color w:val="auto"/>
          <w:spacing w:val="0"/>
          <w:kern w:val="0"/>
          <w:sz w:val="32"/>
          <w:szCs w:val="32"/>
          <w:shd w:val="clear" w:fill="FFFFFF"/>
          <w:lang w:val="en-US" w:eastAsia="zh-CN" w:bidi="ar"/>
        </w:rPr>
      </w:pPr>
      <w:r>
        <w:rPr>
          <w:rFonts w:hint="eastAsia" w:ascii="仿宋_GB2312" w:hAnsi="微软雅黑" w:eastAsia="仿宋_GB2312" w:cs="仿宋_GB2312"/>
          <w:i w:val="0"/>
          <w:iCs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i w:val="0"/>
          <w:iCs w:val="0"/>
          <w:caps w:val="0"/>
          <w:color w:val="auto"/>
          <w:spacing w:val="0"/>
          <w:kern w:val="0"/>
          <w:sz w:val="32"/>
          <w:szCs w:val="32"/>
          <w:shd w:val="clear" w:fill="FFFFFF"/>
          <w:lang w:val="en-US" w:eastAsia="zh-CN" w:bidi="ar"/>
        </w:rPr>
        <w:t>中共工布江达县委员会办公室2022年度收入总计</w:t>
      </w:r>
      <w:r>
        <w:rPr>
          <w:rFonts w:hint="eastAsia" w:ascii="仿宋_GB2312" w:hAnsi="微软雅黑" w:eastAsia="仿宋_GB2312" w:cs="仿宋_GB2312"/>
          <w:i w:val="0"/>
          <w:iCs w:val="0"/>
          <w:caps w:val="0"/>
          <w:color w:val="auto"/>
          <w:spacing w:val="0"/>
          <w:kern w:val="0"/>
          <w:sz w:val="32"/>
          <w:szCs w:val="32"/>
          <w:shd w:val="clear" w:fill="FFFFFF"/>
          <w:lang w:val="en-US" w:eastAsia="zh-CN" w:bidi="ar"/>
        </w:rPr>
        <w:t>9425757.13</w:t>
      </w:r>
      <w:r>
        <w:rPr>
          <w:rFonts w:hint="eastAsia" w:ascii="仿宋_GB2312" w:hAnsi="仿宋_GB2312" w:eastAsia="仿宋_GB2312" w:cs="仿宋_GB2312"/>
          <w:i w:val="0"/>
          <w:iCs w:val="0"/>
          <w:caps w:val="0"/>
          <w:color w:val="auto"/>
          <w:spacing w:val="0"/>
          <w:kern w:val="0"/>
          <w:sz w:val="32"/>
          <w:szCs w:val="32"/>
          <w:shd w:val="clear" w:fill="FFFFFF"/>
          <w:lang w:val="en-US" w:eastAsia="zh-CN" w:bidi="ar"/>
        </w:rPr>
        <w:t>元，其中：一般公共预算财政拨款收入9372451.13元，占2022年度总收入的99.43%，比2021年增加2741106.14元，同比增加41.34%，同比增长主要原因为2022年度人员工资调增及补发、</w:t>
      </w:r>
      <w:r>
        <w:rPr>
          <w:rFonts w:hint="eastAsia" w:ascii="仿宋_GB2312" w:hAnsi="仿宋_GB2312" w:eastAsia="仿宋_GB2312" w:cs="仿宋_GB2312"/>
          <w:i w:val="0"/>
          <w:iCs w:val="0"/>
          <w:caps w:val="0"/>
          <w:color w:val="auto"/>
          <w:spacing w:val="0"/>
          <w:kern w:val="0"/>
          <w:sz w:val="32"/>
          <w:szCs w:val="32"/>
          <w:shd w:val="clear" w:fill="FFFFFF"/>
          <w:lang w:val="en-US" w:eastAsia="zh-CN" w:bidi="ar"/>
        </w:rPr>
        <w:t>单位项目、社保和公积金基数等增加。年初结转和结余53306元，占2022年度总收入的0.57%，比2021年年初结转和结余少1775515.96元，同比降低97.06%，降低主要原因为2021年度支出较年度预算较多，年末结转和结余较少。</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542"/>
        <w:jc w:val="left"/>
        <w:textAlignment w:val="auto"/>
        <w:outlineLvl w:val="9"/>
        <w:rPr>
          <w:rFonts w:hint="eastAsia" w:ascii="微软雅黑" w:hAnsi="微软雅黑" w:eastAsia="仿宋_GB2312" w:cs="微软雅黑"/>
          <w:i w:val="0"/>
          <w:iCs w:val="0"/>
          <w:caps w:val="0"/>
          <w:color w:val="auto"/>
          <w:spacing w:val="0"/>
          <w:sz w:val="32"/>
          <w:szCs w:val="24"/>
        </w:rPr>
      </w:pPr>
      <w:r>
        <w:rPr>
          <w:rFonts w:hint="eastAsia" w:ascii="仿宋" w:hAnsi="仿宋" w:eastAsia="仿宋_GB2312" w:cs="仿宋"/>
          <w:b/>
          <w:bCs/>
          <w:i w:val="0"/>
          <w:iCs w:val="0"/>
          <w:caps w:val="0"/>
          <w:color w:val="auto"/>
          <w:spacing w:val="0"/>
          <w:kern w:val="0"/>
          <w:sz w:val="32"/>
          <w:szCs w:val="36"/>
          <w:shd w:val="clear" w:fill="FFFFFF"/>
          <w:lang w:val="en-US" w:eastAsia="zh-CN" w:bidi="ar"/>
        </w:rPr>
        <w:t xml:space="preserve"> </w:t>
      </w:r>
      <w:r>
        <w:rPr>
          <w:rFonts w:hint="eastAsia" w:ascii="黑体" w:hAnsi="黑体" w:eastAsia="黑体" w:cs="黑体"/>
          <w:b w:val="0"/>
          <w:bCs w:val="0"/>
          <w:i w:val="0"/>
          <w:iCs w:val="0"/>
          <w:caps w:val="0"/>
          <w:color w:val="auto"/>
          <w:spacing w:val="0"/>
          <w:kern w:val="0"/>
          <w:sz w:val="32"/>
          <w:szCs w:val="36"/>
          <w:shd w:val="clear" w:fill="FFFFFF"/>
          <w:lang w:val="en-US" w:eastAsia="zh-CN" w:bidi="ar"/>
        </w:rPr>
        <w:t>三、2022年度支出情况说明</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640"/>
        <w:jc w:val="both"/>
        <w:textAlignment w:val="auto"/>
        <w:outlineLvl w:val="9"/>
        <w:rPr>
          <w:rFonts w:hint="eastAsia" w:ascii="仿宋_GB2312" w:hAnsi="微软雅黑" w:eastAsia="仿宋_GB2312" w:cs="仿宋_GB2312"/>
          <w:i w:val="0"/>
          <w:iCs w:val="0"/>
          <w:caps w:val="0"/>
          <w:color w:val="auto"/>
          <w:spacing w:val="0"/>
          <w:kern w:val="0"/>
          <w:sz w:val="32"/>
          <w:szCs w:val="32"/>
          <w:shd w:val="clear" w:fill="FFFFFF"/>
          <w:lang w:val="en-US" w:eastAsia="zh-CN" w:bidi="ar"/>
        </w:rPr>
      </w:pPr>
      <w:r>
        <w:rPr>
          <w:rFonts w:hint="eastAsia" w:ascii="仿宋_GB2312" w:hAnsi="微软雅黑" w:eastAsia="仿宋_GB2312" w:cs="仿宋_GB2312"/>
          <w:i w:val="0"/>
          <w:iCs w:val="0"/>
          <w:caps w:val="0"/>
          <w:color w:val="auto"/>
          <w:spacing w:val="0"/>
          <w:kern w:val="0"/>
          <w:sz w:val="32"/>
          <w:szCs w:val="32"/>
          <w:shd w:val="clear" w:fill="FFFFFF"/>
          <w:lang w:val="en-US" w:eastAsia="zh-CN" w:bidi="ar"/>
        </w:rPr>
        <w:t>中共工布江达县委员会办公室2022年度支出合计为9425757.13元，比2021年增加1091110.83元，增长13.09%；增加原因主要为当年单位项目、社保和公积金基数等增加，人员</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right="0"/>
        <w:jc w:val="both"/>
        <w:textAlignment w:val="auto"/>
        <w:outlineLvl w:val="9"/>
        <w:rPr>
          <w:rFonts w:hint="eastAsia" w:ascii="微软雅黑" w:hAnsi="微软雅黑" w:eastAsia="仿宋_GB2312" w:cs="微软雅黑"/>
          <w:i w:val="0"/>
          <w:iCs w:val="0"/>
          <w:caps w:val="0"/>
          <w:color w:val="auto"/>
          <w:spacing w:val="0"/>
          <w:sz w:val="32"/>
          <w:szCs w:val="24"/>
        </w:rPr>
      </w:pPr>
      <w:r>
        <w:rPr>
          <w:rFonts w:hint="eastAsia" w:ascii="仿宋_GB2312" w:hAnsi="微软雅黑" w:eastAsia="仿宋_GB2312" w:cs="仿宋_GB2312"/>
          <w:i w:val="0"/>
          <w:iCs w:val="0"/>
          <w:caps w:val="0"/>
          <w:color w:val="auto"/>
          <w:spacing w:val="0"/>
          <w:kern w:val="0"/>
          <w:sz w:val="32"/>
          <w:szCs w:val="32"/>
          <w:shd w:val="clear" w:fill="FFFFFF"/>
          <w:lang w:val="en-US" w:eastAsia="zh-CN" w:bidi="ar"/>
        </w:rPr>
        <w:t>工资调增及补发。其中：基本支出6465276.56元（其中</w:t>
      </w:r>
      <w:r>
        <w:rPr>
          <w:rFonts w:hint="eastAsia" w:ascii="仿宋_GB2312" w:hAnsi="仿宋_GB2312" w:eastAsia="仿宋_GB2312" w:cs="仿宋_GB2312"/>
          <w:i w:val="0"/>
          <w:iCs w:val="0"/>
          <w:caps w:val="0"/>
          <w:color w:val="auto"/>
          <w:spacing w:val="0"/>
          <w:kern w:val="0"/>
          <w:sz w:val="32"/>
          <w:szCs w:val="32"/>
          <w:shd w:val="clear" w:fill="FFFFFF"/>
          <w:lang w:val="en-US" w:eastAsia="zh-CN" w:bidi="ar"/>
        </w:rPr>
        <w:t>：人员经费支出6131090.65元，公用经费支出334185.91元</w:t>
      </w:r>
      <w:r>
        <w:rPr>
          <w:rFonts w:hint="eastAsia" w:ascii="仿宋_GB2312" w:hAnsi="微软雅黑" w:eastAsia="仿宋_GB2312" w:cs="仿宋_GB2312"/>
          <w:i w:val="0"/>
          <w:iCs w:val="0"/>
          <w:caps w:val="0"/>
          <w:color w:val="auto"/>
          <w:spacing w:val="0"/>
          <w:kern w:val="0"/>
          <w:sz w:val="32"/>
          <w:szCs w:val="32"/>
          <w:shd w:val="clear" w:fill="FFFFFF"/>
          <w:lang w:val="en-US" w:eastAsia="zh-CN" w:bidi="ar"/>
        </w:rPr>
        <w:t>），占总支出的68.59%；项目支出2960480.57元，占总支出的31.41%。</w:t>
      </w:r>
      <w:r>
        <w:rPr>
          <w:rFonts w:hint="eastAsia" w:ascii="仿宋_GB2312" w:hAnsi="微软雅黑" w:eastAsia="仿宋_GB2312" w:cs="仿宋_GB2312"/>
          <w:b w:val="0"/>
          <w:bCs w:val="0"/>
          <w:i w:val="0"/>
          <w:iCs w:val="0"/>
          <w:caps w:val="0"/>
          <w:color w:val="auto"/>
          <w:spacing w:val="0"/>
          <w:kern w:val="0"/>
          <w:sz w:val="32"/>
          <w:szCs w:val="32"/>
          <w:shd w:val="clear" w:fill="FFFFFF"/>
          <w:lang w:val="en-US" w:eastAsia="zh-CN" w:bidi="ar"/>
        </w:rPr>
        <w:t>按支出经济分，</w:t>
      </w:r>
      <w:r>
        <w:rPr>
          <w:rFonts w:hint="eastAsia" w:ascii="仿宋_GB2312" w:hAnsi="微软雅黑" w:eastAsia="仿宋_GB2312" w:cs="仿宋_GB2312"/>
          <w:i w:val="0"/>
          <w:iCs w:val="0"/>
          <w:caps w:val="0"/>
          <w:color w:val="auto"/>
          <w:spacing w:val="0"/>
          <w:kern w:val="0"/>
          <w:sz w:val="32"/>
          <w:szCs w:val="32"/>
          <w:shd w:val="clear" w:fill="FFFFFF"/>
          <w:lang w:val="en-US" w:eastAsia="zh-CN" w:bidi="ar"/>
        </w:rPr>
        <w:t>其中：工资福利支出5924090.65元，占总支出的62.86%；商品和服务支出2546066.48元，占总支出的27.01%；对个人和家庭的补助支出207000元，占总支出的2.19%；资本性支出748600元，占总支出的7.97%。</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542"/>
        <w:jc w:val="left"/>
        <w:textAlignment w:val="auto"/>
        <w:outlineLvl w:val="9"/>
        <w:rPr>
          <w:rFonts w:hint="eastAsia" w:ascii="仿宋_GB2312" w:hAnsi="微软雅黑" w:eastAsia="仿宋_GB2312" w:cs="仿宋_GB2312"/>
          <w:i w:val="0"/>
          <w:iCs w:val="0"/>
          <w:caps w:val="0"/>
          <w:color w:val="auto"/>
          <w:spacing w:val="0"/>
          <w:kern w:val="0"/>
          <w:sz w:val="32"/>
          <w:szCs w:val="32"/>
          <w:shd w:val="clear" w:fill="FFFFFF"/>
          <w:lang w:val="en-US" w:eastAsia="zh-CN" w:bidi="ar"/>
        </w:rPr>
      </w:pPr>
      <w:r>
        <w:rPr>
          <w:rFonts w:hint="eastAsia" w:ascii="仿宋" w:hAnsi="仿宋" w:eastAsia="仿宋_GB2312" w:cs="仿宋"/>
          <w:b/>
          <w:bCs/>
          <w:i w:val="0"/>
          <w:iCs w:val="0"/>
          <w:caps w:val="0"/>
          <w:color w:val="FF0000"/>
          <w:spacing w:val="0"/>
          <w:kern w:val="0"/>
          <w:sz w:val="32"/>
          <w:szCs w:val="36"/>
          <w:shd w:val="clear" w:fill="FFFFFF"/>
          <w:lang w:val="en-US" w:eastAsia="zh-CN" w:bidi="ar"/>
        </w:rPr>
        <w:t xml:space="preserve"> </w:t>
      </w:r>
      <w:r>
        <w:rPr>
          <w:rFonts w:hint="eastAsia" w:ascii="黑体" w:hAnsi="黑体" w:eastAsia="黑体" w:cs="黑体"/>
          <w:b w:val="0"/>
          <w:bCs w:val="0"/>
          <w:i w:val="0"/>
          <w:iCs w:val="0"/>
          <w:caps w:val="0"/>
          <w:color w:val="auto"/>
          <w:spacing w:val="0"/>
          <w:kern w:val="0"/>
          <w:sz w:val="32"/>
          <w:szCs w:val="36"/>
          <w:shd w:val="clear" w:fill="FFFFFF"/>
          <w:lang w:val="en-US" w:eastAsia="zh-CN" w:bidi="ar"/>
        </w:rPr>
        <w:t>四、2022年度一般公共预算财政拨款收入支出总体情况</w:t>
      </w:r>
      <w:r>
        <w:rPr>
          <w:rFonts w:hint="eastAsia" w:ascii="黑体" w:hAnsi="黑体" w:eastAsia="黑体" w:cs="黑体"/>
          <w:b w:val="0"/>
          <w:bCs w:val="0"/>
          <w:i w:val="0"/>
          <w:iCs w:val="0"/>
          <w:caps w:val="0"/>
          <w:color w:val="auto"/>
          <w:spacing w:val="0"/>
          <w:kern w:val="0"/>
          <w:sz w:val="32"/>
          <w:szCs w:val="32"/>
          <w:shd w:val="clear" w:fill="FFFFFF"/>
          <w:lang w:val="en-US" w:eastAsia="zh-CN" w:bidi="ar"/>
        </w:rPr>
        <w:t>说</w:t>
      </w:r>
      <w:r>
        <w:rPr>
          <w:rFonts w:hint="eastAsia" w:ascii="仿宋_GB2312" w:hAnsi="微软雅黑" w:eastAsia="仿宋_GB2312" w:cs="仿宋_GB2312"/>
          <w:i w:val="0"/>
          <w:iCs w:val="0"/>
          <w:caps w:val="0"/>
          <w:color w:val="auto"/>
          <w:spacing w:val="0"/>
          <w:kern w:val="0"/>
          <w:sz w:val="32"/>
          <w:szCs w:val="32"/>
          <w:shd w:val="clear" w:fill="FFFFFF"/>
          <w:lang w:val="en-US" w:eastAsia="zh-CN" w:bidi="ar"/>
        </w:rPr>
        <w:t>明</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640"/>
        <w:jc w:val="left"/>
        <w:textAlignment w:val="auto"/>
        <w:outlineLvl w:val="9"/>
        <w:rPr>
          <w:rFonts w:hint="eastAsia" w:ascii="微软雅黑" w:hAnsi="微软雅黑" w:eastAsia="仿宋_GB2312" w:cs="微软雅黑"/>
          <w:i w:val="0"/>
          <w:iCs w:val="0"/>
          <w:caps w:val="0"/>
          <w:color w:val="auto"/>
          <w:spacing w:val="0"/>
          <w:sz w:val="32"/>
          <w:szCs w:val="24"/>
        </w:rPr>
      </w:pPr>
      <w:r>
        <w:rPr>
          <w:rFonts w:hint="eastAsia" w:ascii="仿宋_GB2312" w:hAnsi="微软雅黑" w:eastAsia="仿宋_GB2312" w:cs="仿宋_GB2312"/>
          <w:i w:val="0"/>
          <w:iCs w:val="0"/>
          <w:caps w:val="0"/>
          <w:color w:val="auto"/>
          <w:spacing w:val="0"/>
          <w:kern w:val="0"/>
          <w:sz w:val="32"/>
          <w:szCs w:val="32"/>
          <w:shd w:val="clear" w:fill="FFFFFF"/>
          <w:lang w:val="en-US" w:eastAsia="zh-CN" w:bidi="ar"/>
        </w:rPr>
        <w:t>中共工布江达县委员会办公室2022年度一般公共预算财政拨款收入9372451.13元，比上一年增加2741106.14元，增加41.34%；增加主要因为2022年度人员工资调增及补发、单位项目、社保和公积金基数等增加，一般公共预算财政拨款支出合计9425757.13元，比上一年增加1091110.83元，增长13.09%；2022年度人员工资调增及补发、单位项目、社保和公积金基数等增加。</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542"/>
        <w:jc w:val="left"/>
        <w:textAlignment w:val="auto"/>
        <w:outlineLvl w:val="9"/>
        <w:rPr>
          <w:rFonts w:hint="eastAsia" w:ascii="黑体" w:hAnsi="黑体" w:eastAsia="黑体" w:cs="黑体"/>
          <w:b w:val="0"/>
          <w:bCs w:val="0"/>
          <w:i w:val="0"/>
          <w:iCs w:val="0"/>
          <w:caps w:val="0"/>
          <w:color w:val="auto"/>
          <w:spacing w:val="0"/>
          <w:kern w:val="0"/>
          <w:sz w:val="32"/>
          <w:szCs w:val="36"/>
          <w:shd w:val="clear" w:fill="FFFFFF"/>
          <w:lang w:val="en-US" w:eastAsia="zh-CN" w:bidi="ar"/>
        </w:rPr>
      </w:pPr>
      <w:r>
        <w:rPr>
          <w:rFonts w:hint="eastAsia" w:ascii="黑体" w:hAnsi="黑体" w:eastAsia="黑体" w:cs="黑体"/>
          <w:b w:val="0"/>
          <w:bCs w:val="0"/>
          <w:i w:val="0"/>
          <w:iCs w:val="0"/>
          <w:caps w:val="0"/>
          <w:color w:val="auto"/>
          <w:spacing w:val="0"/>
          <w:kern w:val="0"/>
          <w:sz w:val="32"/>
          <w:szCs w:val="36"/>
          <w:shd w:val="clear" w:fill="FFFFFF"/>
          <w:lang w:val="en-US" w:eastAsia="zh-CN" w:bidi="ar"/>
        </w:rPr>
        <w:t>五、2022年度一般公共预算财政拨款支出情况说明</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0"/>
        <w:jc w:val="left"/>
        <w:textAlignment w:val="auto"/>
        <w:outlineLvl w:val="9"/>
        <w:rPr>
          <w:rFonts w:hint="eastAsia" w:ascii="微软雅黑" w:hAnsi="微软雅黑" w:eastAsia="仿宋_GB2312" w:cs="微软雅黑"/>
          <w:i w:val="0"/>
          <w:iCs w:val="0"/>
          <w:caps w:val="0"/>
          <w:color w:val="auto"/>
          <w:spacing w:val="0"/>
          <w:sz w:val="32"/>
          <w:szCs w:val="24"/>
        </w:rPr>
      </w:pPr>
      <w:r>
        <w:rPr>
          <w:rFonts w:hint="eastAsia" w:ascii="仿宋_GB2312" w:hAnsi="微软雅黑" w:eastAsia="仿宋_GB2312" w:cs="仿宋_GB2312"/>
          <w:i w:val="0"/>
          <w:iCs w:val="0"/>
          <w:caps w:val="0"/>
          <w:color w:val="auto"/>
          <w:spacing w:val="0"/>
          <w:kern w:val="0"/>
          <w:sz w:val="32"/>
          <w:szCs w:val="32"/>
          <w:shd w:val="clear" w:fill="FFFFFF"/>
          <w:lang w:val="en-US" w:eastAsia="zh-CN" w:bidi="ar"/>
        </w:rPr>
        <w:t xml:space="preserve"> 中共工布江达县委员会办公室2022年度一般公共预算财政拨款支出9425757.13</w:t>
      </w:r>
      <w:r>
        <w:rPr>
          <w:rFonts w:hint="eastAsia" w:ascii="仿宋_GB2312" w:hAnsi="微软雅黑" w:eastAsia="仿宋_GB2312" w:cs="仿宋_GB2312"/>
          <w:i w:val="0"/>
          <w:iCs w:val="0"/>
          <w:caps w:val="0"/>
          <w:color w:val="auto"/>
          <w:spacing w:val="-20"/>
          <w:kern w:val="0"/>
          <w:sz w:val="32"/>
          <w:szCs w:val="32"/>
          <w:shd w:val="clear" w:fill="FFFFFF"/>
          <w:lang w:val="en-US" w:eastAsia="zh-CN" w:bidi="ar"/>
        </w:rPr>
        <w:t>元</w:t>
      </w:r>
      <w:r>
        <w:rPr>
          <w:rFonts w:hint="eastAsia" w:ascii="仿宋_GB2312" w:hAnsi="微软雅黑" w:eastAsia="仿宋_GB2312" w:cs="仿宋_GB2312"/>
          <w:i w:val="0"/>
          <w:iCs w:val="0"/>
          <w:caps w:val="0"/>
          <w:color w:val="auto"/>
          <w:spacing w:val="0"/>
          <w:kern w:val="0"/>
          <w:sz w:val="32"/>
          <w:szCs w:val="32"/>
          <w:shd w:val="clear" w:fill="FFFFFF"/>
          <w:lang w:val="en-US" w:eastAsia="zh-CN" w:bidi="ar"/>
        </w:rPr>
        <w:t>，主要用于以下方面:社会保障和就业支出576912.77元，占一般公共预算财政拨款支出的6.12%；卫生健康支出348450.21元，占一般公共预算财政拨款支出的3.7%；一般公共服务支出8119856.15元，占一般公共预算财政拨款支出的86.15%；住房保障支出380538元，占一般公共预算财政拨款支出的4.03%。</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2"/>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（一）社会保障和就业支出（类）</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支出576912.77元，比2022年年初预算数471200元增加105712.77元，完成年初预算数的122.43%，增加主要原因为社保基数调整，调整预算。 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2"/>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（二）卫生健康支出（类）</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支出348450.21元，比2022年年初预算数294700元增加53750.21元，完成年初预算数的118.23%，增加主要原因是社保基数调整，调整预算。</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2"/>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（三）一般公共服务支出（类）</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支出8119856.15元，比2022年年初预算数4628006元增加3491850.15元，完成年初预算数的175.45%，增加主要原因为单位项目支出增加，调整预算。</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   </w:t>
      </w: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（四）住房保障支出（类）</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支出380538元，比2022年年初预算数378700元增加1838元，完成年初预算数的100.48%，主要原因为住房公积金基数调整，调整预算。</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542"/>
        <w:jc w:val="left"/>
        <w:textAlignment w:val="auto"/>
        <w:outlineLvl w:val="9"/>
        <w:rPr>
          <w:rFonts w:hint="eastAsia" w:ascii="黑体" w:hAnsi="黑体" w:eastAsia="黑体" w:cs="黑体"/>
          <w:b w:val="0"/>
          <w:bCs w:val="0"/>
          <w:i w:val="0"/>
          <w:iCs w:val="0"/>
          <w:caps w:val="0"/>
          <w:color w:val="000000"/>
          <w:spacing w:val="0"/>
          <w:kern w:val="0"/>
          <w:sz w:val="32"/>
          <w:szCs w:val="36"/>
          <w:shd w:val="clear" w:fill="FFFFFF"/>
          <w:lang w:val="en-US" w:eastAsia="zh-CN" w:bidi="ar"/>
        </w:rPr>
      </w:pPr>
      <w:r>
        <w:rPr>
          <w:rFonts w:hint="eastAsia" w:ascii="黑体" w:hAnsi="黑体" w:eastAsia="黑体" w:cs="黑体"/>
          <w:b w:val="0"/>
          <w:bCs w:val="0"/>
          <w:i w:val="0"/>
          <w:iCs w:val="0"/>
          <w:caps w:val="0"/>
          <w:color w:val="000000"/>
          <w:spacing w:val="0"/>
          <w:kern w:val="0"/>
          <w:sz w:val="32"/>
          <w:szCs w:val="36"/>
          <w:shd w:val="clear" w:fill="FFFFFF"/>
          <w:lang w:val="en-US" w:eastAsia="zh-CN" w:bidi="ar"/>
        </w:rPr>
        <w:t xml:space="preserve"> 六、2022年度一般公共预算财政拨款基本支出情况说明</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0"/>
        <w:jc w:val="left"/>
        <w:textAlignment w:val="auto"/>
        <w:outlineLvl w:val="9"/>
        <w:rPr>
          <w:rFonts w:hint="eastAsia" w:ascii="仿宋_GB2312" w:hAnsi="微软雅黑" w:eastAsia="仿宋_GB2312" w:cs="仿宋_GB2312"/>
          <w:i w:val="0"/>
          <w:iCs w:val="0"/>
          <w:caps w:val="0"/>
          <w:color w:val="000000"/>
          <w:spacing w:val="0"/>
          <w:kern w:val="0"/>
          <w:sz w:val="32"/>
          <w:szCs w:val="32"/>
          <w:shd w:val="clear" w:fill="FFFFFF"/>
          <w:lang w:val="en-US" w:eastAsia="zh-CN" w:bidi="ar"/>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 xml:space="preserve"> 中共工布江达县委员会办公室2022年度一般公共预算财政拨款基本支出6465276.56元，比2021年增加544321.5元，同比增长9.19 %。主要用于</w:t>
      </w:r>
      <w:r>
        <w:rPr>
          <w:rFonts w:hint="eastAsia" w:ascii="仿宋_GB2312" w:hAnsi="仿宋_GB2312" w:eastAsia="仿宋_GB2312" w:cs="仿宋_GB2312"/>
          <w:i w:val="0"/>
          <w:iCs w:val="0"/>
          <w:caps w:val="0"/>
          <w:color w:val="auto"/>
          <w:spacing w:val="0"/>
          <w:kern w:val="0"/>
          <w:sz w:val="32"/>
          <w:szCs w:val="32"/>
          <w:shd w:val="clear" w:fill="FFFFFF"/>
          <w:lang w:val="en-US" w:eastAsia="zh-CN" w:bidi="ar"/>
        </w:rPr>
        <w:t>党委办公厅（室）及相关机构事务、财政对基本养老保险基金的补助、财政对其他社会保险基金的补助、行政事业单位医疗、财政对基本医疗保险基金的补助、住房改革支出方面。</w:t>
      </w:r>
    </w:p>
    <w:p>
      <w:pPr>
        <w:keepNext w:val="0"/>
        <w:keepLines w:val="0"/>
        <w:pageBreakBefore w:val="0"/>
        <w:kinsoku/>
        <w:wordWrap/>
        <w:overflowPunct/>
        <w:topLinePunct w:val="0"/>
        <w:autoSpaceDE/>
        <w:autoSpaceDN/>
        <w:bidi w:val="0"/>
        <w:adjustRightInd/>
        <w:snapToGrid/>
        <w:spacing w:line="576" w:lineRule="exact"/>
        <w:ind w:left="0" w:leftChars="0" w:right="0" w:rightChars="0" w:firstLine="336" w:firstLineChars="0"/>
        <w:jc w:val="left"/>
        <w:textAlignment w:val="auto"/>
        <w:rPr>
          <w:rFonts w:hint="eastAsia" w:ascii="仿宋_GB2312" w:hAnsi="仿宋_GB2312" w:eastAsia="仿宋_GB2312" w:cs="仿宋_GB2312"/>
          <w:i w:val="0"/>
          <w:iCs w:val="0"/>
          <w:caps w:val="0"/>
          <w:color w:val="auto"/>
          <w:spacing w:val="0"/>
          <w:kern w:val="0"/>
          <w:sz w:val="32"/>
          <w:szCs w:val="32"/>
          <w:shd w:val="clear" w:fill="FFFFFF"/>
          <w:lang w:val="en-US" w:eastAsia="zh-CN" w:bidi="ar"/>
        </w:rPr>
      </w:pPr>
      <w:r>
        <w:rPr>
          <w:rFonts w:hint="eastAsia" w:ascii="仿宋_GB2312" w:hAnsi="仿宋_GB2312" w:eastAsia="仿宋_GB2312" w:cs="仿宋_GB2312"/>
          <w:b/>
          <w:bCs/>
          <w:i w:val="0"/>
          <w:iCs w:val="0"/>
          <w:caps w:val="0"/>
          <w:color w:val="auto"/>
          <w:spacing w:val="0"/>
          <w:kern w:val="0"/>
          <w:sz w:val="32"/>
          <w:szCs w:val="32"/>
          <w:shd w:val="clear" w:fill="FFFFFF"/>
          <w:lang w:val="en-US" w:eastAsia="zh-CN" w:bidi="ar"/>
        </w:rPr>
        <w:t xml:space="preserve">  （一）党委办公厅（室）及相关机构事务（款）</w:t>
      </w:r>
      <w:r>
        <w:rPr>
          <w:rFonts w:hint="eastAsia" w:ascii="仿宋_GB2312" w:hAnsi="仿宋_GB2312" w:eastAsia="仿宋_GB2312" w:cs="仿宋_GB2312"/>
          <w:i w:val="0"/>
          <w:iCs w:val="0"/>
          <w:caps w:val="0"/>
          <w:color w:val="auto"/>
          <w:spacing w:val="0"/>
          <w:kern w:val="0"/>
          <w:sz w:val="32"/>
          <w:szCs w:val="32"/>
          <w:shd w:val="clear" w:fill="FFFFFF"/>
          <w:lang w:val="en-US" w:eastAsia="zh-CN" w:bidi="ar"/>
        </w:rPr>
        <w:t>支出5159375.58元，占一般公共预算财政拨款基本支出的79.8%，比2021年增加831260.52元，同比增加19.21%，主要原因为单位项目增加导致经费支出增加。</w:t>
      </w:r>
    </w:p>
    <w:p>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leftChars="0" w:right="0" w:rightChars="0" w:firstLine="642"/>
        <w:jc w:val="both"/>
        <w:textAlignment w:val="auto"/>
        <w:outlineLvl w:val="9"/>
        <w:rPr>
          <w:rFonts w:hint="eastAsia" w:ascii="仿宋_GB2312" w:hAnsi="仿宋_GB2312" w:eastAsia="仿宋_GB2312" w:cs="仿宋_GB2312"/>
          <w:i w:val="0"/>
          <w:iCs w:val="0"/>
          <w:caps w:val="0"/>
          <w:color w:val="auto"/>
          <w:spacing w:val="0"/>
          <w:kern w:val="0"/>
          <w:sz w:val="32"/>
          <w:szCs w:val="32"/>
          <w:shd w:val="clear" w:fill="FFFFFF"/>
          <w:lang w:val="en-US" w:eastAsia="zh-CN" w:bidi="ar"/>
        </w:rPr>
      </w:pPr>
      <w:r>
        <w:rPr>
          <w:rFonts w:hint="eastAsia" w:ascii="仿宋_GB2312" w:hAnsi="仿宋_GB2312" w:eastAsia="仿宋_GB2312" w:cs="仿宋_GB2312"/>
          <w:b/>
          <w:bCs/>
          <w:i w:val="0"/>
          <w:iCs w:val="0"/>
          <w:caps w:val="0"/>
          <w:color w:val="auto"/>
          <w:spacing w:val="0"/>
          <w:kern w:val="0"/>
          <w:sz w:val="32"/>
          <w:szCs w:val="32"/>
          <w:shd w:val="clear" w:fill="FFFFFF"/>
          <w:lang w:val="en-US" w:eastAsia="zh-CN" w:bidi="ar"/>
        </w:rPr>
        <w:t>（二）财政对基本养老保险基金的补助（款）</w:t>
      </w:r>
      <w:r>
        <w:rPr>
          <w:rFonts w:hint="eastAsia" w:ascii="仿宋_GB2312" w:hAnsi="仿宋_GB2312" w:eastAsia="仿宋_GB2312" w:cs="仿宋_GB2312"/>
          <w:i w:val="0"/>
          <w:iCs w:val="0"/>
          <w:caps w:val="0"/>
          <w:color w:val="auto"/>
          <w:spacing w:val="0"/>
          <w:kern w:val="0"/>
          <w:sz w:val="32"/>
          <w:szCs w:val="32"/>
          <w:shd w:val="clear" w:fill="FFFFFF"/>
          <w:lang w:val="en-US" w:eastAsia="zh-CN" w:bidi="ar"/>
        </w:rPr>
        <w:t>支出568605.43元，占一般公共预算财政拨款基本支出的8.79%，比2021年增加38605.43元，同比增加7.28%，主要原因为当年人员变动、基数调整。</w:t>
      </w:r>
    </w:p>
    <w:p>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right="0" w:rightChars="0" w:firstLine="642"/>
        <w:jc w:val="both"/>
        <w:textAlignment w:val="auto"/>
        <w:outlineLvl w:val="9"/>
        <w:rPr>
          <w:rFonts w:hint="eastAsia" w:ascii="仿宋_GB2312" w:hAnsi="仿宋_GB2312" w:eastAsia="仿宋_GB2312" w:cs="仿宋_GB2312"/>
          <w:i w:val="0"/>
          <w:iCs w:val="0"/>
          <w:caps w:val="0"/>
          <w:color w:val="auto"/>
          <w:spacing w:val="0"/>
          <w:kern w:val="0"/>
          <w:sz w:val="32"/>
          <w:szCs w:val="32"/>
          <w:shd w:val="clear" w:fill="FFFFFF"/>
          <w:lang w:val="en-US" w:eastAsia="zh-CN" w:bidi="ar"/>
        </w:rPr>
      </w:pPr>
      <w:r>
        <w:rPr>
          <w:rFonts w:hint="eastAsia" w:ascii="仿宋_GB2312" w:hAnsi="仿宋_GB2312" w:eastAsia="仿宋_GB2312" w:cs="仿宋_GB2312"/>
          <w:b/>
          <w:bCs/>
          <w:i w:val="0"/>
          <w:iCs w:val="0"/>
          <w:caps w:val="0"/>
          <w:color w:val="auto"/>
          <w:spacing w:val="0"/>
          <w:kern w:val="0"/>
          <w:sz w:val="32"/>
          <w:szCs w:val="32"/>
          <w:shd w:val="clear" w:fill="FFFFFF"/>
          <w:lang w:val="en-US" w:eastAsia="zh-CN" w:bidi="ar"/>
        </w:rPr>
        <w:t>（三）财政对其他社会保险基金的补助（款）</w:t>
      </w:r>
      <w:r>
        <w:rPr>
          <w:rFonts w:hint="eastAsia" w:ascii="仿宋_GB2312" w:hAnsi="仿宋_GB2312" w:eastAsia="仿宋_GB2312" w:cs="仿宋_GB2312"/>
          <w:i w:val="0"/>
          <w:iCs w:val="0"/>
          <w:caps w:val="0"/>
          <w:color w:val="auto"/>
          <w:spacing w:val="0"/>
          <w:kern w:val="0"/>
          <w:sz w:val="32"/>
          <w:szCs w:val="32"/>
          <w:shd w:val="clear" w:fill="FFFFFF"/>
          <w:lang w:val="en-US" w:eastAsia="zh-CN" w:bidi="ar"/>
        </w:rPr>
        <w:t>支出8307.34</w:t>
      </w:r>
    </w:p>
    <w:p>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right="0" w:rightChars="0"/>
        <w:jc w:val="both"/>
        <w:textAlignment w:val="auto"/>
        <w:outlineLvl w:val="9"/>
        <w:rPr>
          <w:rFonts w:hint="eastAsia" w:ascii="仿宋_GB2312" w:hAnsi="仿宋_GB2312" w:eastAsia="仿宋_GB2312" w:cs="仿宋_GB2312"/>
          <w:i w:val="0"/>
          <w:iCs w:val="0"/>
          <w:caps w:val="0"/>
          <w:color w:val="auto"/>
          <w:spacing w:val="0"/>
          <w:kern w:val="0"/>
          <w:sz w:val="32"/>
          <w:szCs w:val="32"/>
          <w:shd w:val="clear" w:fill="FFFFFF"/>
          <w:lang w:val="en-US" w:eastAsia="zh-CN" w:bidi="ar"/>
        </w:rPr>
      </w:pPr>
      <w:r>
        <w:rPr>
          <w:rFonts w:hint="eastAsia" w:ascii="仿宋_GB2312" w:hAnsi="仿宋_GB2312" w:eastAsia="仿宋_GB2312" w:cs="仿宋_GB2312"/>
          <w:i w:val="0"/>
          <w:iCs w:val="0"/>
          <w:caps w:val="0"/>
          <w:color w:val="auto"/>
          <w:spacing w:val="0"/>
          <w:kern w:val="0"/>
          <w:sz w:val="32"/>
          <w:szCs w:val="32"/>
          <w:shd w:val="clear" w:fill="FFFFFF"/>
          <w:lang w:val="en-US" w:eastAsia="zh-CN" w:bidi="ar"/>
        </w:rPr>
        <w:t>元，占一般公共预算财政拨款基本支出的0.13%，比2021年减少2792.66元，同比降低25.16%，主要原因为2021年补缴以前年度社保。</w:t>
      </w:r>
    </w:p>
    <w:p>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right="0" w:rightChars="0"/>
        <w:jc w:val="both"/>
        <w:textAlignment w:val="auto"/>
        <w:outlineLvl w:val="9"/>
        <w:rPr>
          <w:rFonts w:hint="eastAsia" w:ascii="仿宋_GB2312" w:hAnsi="仿宋_GB2312" w:eastAsia="仿宋_GB2312" w:cs="仿宋_GB2312"/>
          <w:i w:val="0"/>
          <w:iCs w:val="0"/>
          <w:caps w:val="0"/>
          <w:color w:val="auto"/>
          <w:spacing w:val="0"/>
          <w:kern w:val="0"/>
          <w:sz w:val="32"/>
          <w:szCs w:val="32"/>
          <w:shd w:val="clear" w:fill="FFFFFF"/>
          <w:lang w:val="en-US" w:eastAsia="zh-CN" w:bidi="ar"/>
        </w:rPr>
      </w:pPr>
      <w:r>
        <w:rPr>
          <w:rFonts w:hint="eastAsia" w:ascii="仿宋_GB2312" w:hAnsi="仿宋_GB2312" w:eastAsia="仿宋_GB2312" w:cs="仿宋_GB2312"/>
          <w:b/>
          <w:bCs/>
          <w:i w:val="0"/>
          <w:iCs w:val="0"/>
          <w:caps w:val="0"/>
          <w:color w:val="auto"/>
          <w:spacing w:val="0"/>
          <w:kern w:val="0"/>
          <w:sz w:val="32"/>
          <w:szCs w:val="32"/>
          <w:shd w:val="clear" w:fill="FFFFFF"/>
          <w:lang w:val="en-US" w:eastAsia="zh-CN" w:bidi="ar"/>
        </w:rPr>
        <w:t xml:space="preserve">    （四）行政事业单位医疗（款）</w:t>
      </w:r>
      <w:r>
        <w:rPr>
          <w:rFonts w:hint="eastAsia" w:ascii="仿宋_GB2312" w:hAnsi="仿宋_GB2312" w:eastAsia="仿宋_GB2312" w:cs="仿宋_GB2312"/>
          <w:i w:val="0"/>
          <w:iCs w:val="0"/>
          <w:caps w:val="0"/>
          <w:color w:val="auto"/>
          <w:spacing w:val="0"/>
          <w:kern w:val="0"/>
          <w:sz w:val="32"/>
          <w:szCs w:val="32"/>
          <w:shd w:val="clear" w:fill="FFFFFF"/>
          <w:lang w:val="en-US" w:eastAsia="zh-CN" w:bidi="ar"/>
        </w:rPr>
        <w:t>支出70571.66元，占一般公共预算财政拨款基本支出的1.09%，比2021年减少49428.34元，同比降低41.19%，主要原因为2021年补缴以前年度公务员医疗补助。</w:t>
      </w:r>
    </w:p>
    <w:p>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480" w:leftChars="0" w:right="0" w:rightChars="0"/>
        <w:jc w:val="both"/>
        <w:textAlignment w:val="auto"/>
        <w:outlineLvl w:val="9"/>
        <w:rPr>
          <w:rFonts w:hint="eastAsia" w:ascii="仿宋_GB2312" w:hAnsi="仿宋_GB2312" w:eastAsia="仿宋_GB2312" w:cs="仿宋_GB2312"/>
          <w:i w:val="0"/>
          <w:iCs w:val="0"/>
          <w:caps w:val="0"/>
          <w:color w:val="auto"/>
          <w:spacing w:val="0"/>
          <w:kern w:val="0"/>
          <w:sz w:val="32"/>
          <w:szCs w:val="32"/>
          <w:shd w:val="clear" w:fill="FFFFFF"/>
          <w:lang w:val="en-US" w:eastAsia="zh-CN" w:bidi="ar"/>
        </w:rPr>
      </w:pPr>
      <w:r>
        <w:rPr>
          <w:rFonts w:hint="eastAsia" w:ascii="仿宋_GB2312" w:hAnsi="仿宋_GB2312" w:eastAsia="仿宋_GB2312" w:cs="仿宋_GB2312"/>
          <w:b/>
          <w:bCs/>
          <w:i w:val="0"/>
          <w:iCs w:val="0"/>
          <w:caps w:val="0"/>
          <w:color w:val="auto"/>
          <w:spacing w:val="0"/>
          <w:kern w:val="0"/>
          <w:sz w:val="32"/>
          <w:szCs w:val="32"/>
          <w:shd w:val="clear" w:fill="FFFFFF"/>
          <w:lang w:val="en-US" w:eastAsia="zh-CN" w:bidi="ar"/>
        </w:rPr>
        <w:t>（五）财政对基本医疗保险基金的补助（款）</w:t>
      </w:r>
      <w:r>
        <w:rPr>
          <w:rFonts w:hint="eastAsia" w:ascii="仿宋_GB2312" w:hAnsi="仿宋_GB2312" w:eastAsia="仿宋_GB2312" w:cs="仿宋_GB2312"/>
          <w:i w:val="0"/>
          <w:iCs w:val="0"/>
          <w:caps w:val="0"/>
          <w:color w:val="auto"/>
          <w:spacing w:val="0"/>
          <w:kern w:val="0"/>
          <w:sz w:val="32"/>
          <w:szCs w:val="32"/>
          <w:shd w:val="clear" w:fill="FFFFFF"/>
          <w:lang w:val="en-US" w:eastAsia="zh-CN" w:bidi="ar"/>
        </w:rPr>
        <w:t>支出277878.55</w:t>
      </w:r>
    </w:p>
    <w:p>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right="0" w:rightChars="0"/>
        <w:jc w:val="both"/>
        <w:textAlignment w:val="auto"/>
        <w:outlineLvl w:val="9"/>
        <w:rPr>
          <w:rFonts w:hint="eastAsia" w:ascii="仿宋_GB2312" w:hAnsi="仿宋_GB2312" w:eastAsia="仿宋_GB2312" w:cs="仿宋_GB2312"/>
          <w:i w:val="0"/>
          <w:iCs w:val="0"/>
          <w:caps w:val="0"/>
          <w:color w:val="auto"/>
          <w:spacing w:val="0"/>
          <w:kern w:val="0"/>
          <w:sz w:val="32"/>
          <w:szCs w:val="32"/>
          <w:shd w:val="clear" w:fill="FFFFFF"/>
          <w:lang w:val="en-US" w:eastAsia="zh-CN" w:bidi="ar"/>
        </w:rPr>
      </w:pPr>
      <w:r>
        <w:rPr>
          <w:rFonts w:hint="eastAsia" w:ascii="仿宋_GB2312" w:hAnsi="仿宋_GB2312" w:eastAsia="仿宋_GB2312" w:cs="仿宋_GB2312"/>
          <w:i w:val="0"/>
          <w:iCs w:val="0"/>
          <w:caps w:val="0"/>
          <w:color w:val="auto"/>
          <w:spacing w:val="0"/>
          <w:kern w:val="0"/>
          <w:sz w:val="32"/>
          <w:szCs w:val="32"/>
          <w:shd w:val="clear" w:fill="FFFFFF"/>
          <w:lang w:val="en-US" w:eastAsia="zh-CN" w:bidi="ar"/>
        </w:rPr>
        <w:t>元，占一般公共预算财政拨款基本支出的4.3%，比2021年减少22121.45元，同比降低7.37%，主要原因为2021年补缴以前年度医保。</w:t>
      </w:r>
    </w:p>
    <w:p>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Chars="0" w:right="0" w:rightChars="0"/>
        <w:jc w:val="both"/>
        <w:textAlignment w:val="auto"/>
        <w:outlineLvl w:val="9"/>
        <w:rPr>
          <w:rFonts w:hint="eastAsia" w:ascii="仿宋_GB2312" w:hAnsi="仿宋_GB2312" w:eastAsia="仿宋_GB2312" w:cs="仿宋_GB2312"/>
          <w:i w:val="0"/>
          <w:iCs w:val="0"/>
          <w:caps w:val="0"/>
          <w:color w:val="auto"/>
          <w:spacing w:val="0"/>
          <w:kern w:val="0"/>
          <w:sz w:val="32"/>
          <w:szCs w:val="32"/>
          <w:shd w:val="clear" w:fill="FFFFFF"/>
          <w:lang w:val="en-US" w:eastAsia="zh-CN" w:bidi="ar"/>
        </w:rPr>
      </w:pPr>
      <w:r>
        <w:rPr>
          <w:rFonts w:hint="eastAsia" w:ascii="仿宋_GB2312" w:hAnsi="仿宋_GB2312" w:eastAsia="仿宋_GB2312" w:cs="仿宋_GB2312"/>
          <w:b/>
          <w:bCs/>
          <w:i w:val="0"/>
          <w:iCs w:val="0"/>
          <w:caps w:val="0"/>
          <w:color w:val="auto"/>
          <w:spacing w:val="0"/>
          <w:kern w:val="0"/>
          <w:sz w:val="32"/>
          <w:szCs w:val="32"/>
          <w:shd w:val="clear" w:fill="FFFFFF"/>
          <w:lang w:val="en-US" w:eastAsia="zh-CN" w:bidi="ar"/>
        </w:rPr>
        <w:t xml:space="preserve">   （六）住房改革支出（款）</w:t>
      </w:r>
      <w:r>
        <w:rPr>
          <w:rFonts w:hint="eastAsia" w:ascii="仿宋_GB2312" w:hAnsi="仿宋_GB2312" w:eastAsia="仿宋_GB2312" w:cs="仿宋_GB2312"/>
          <w:i w:val="0"/>
          <w:iCs w:val="0"/>
          <w:caps w:val="0"/>
          <w:color w:val="auto"/>
          <w:spacing w:val="0"/>
          <w:kern w:val="0"/>
          <w:sz w:val="32"/>
          <w:szCs w:val="32"/>
          <w:shd w:val="clear" w:fill="FFFFFF"/>
          <w:lang w:val="en-US" w:eastAsia="zh-CN" w:bidi="ar"/>
        </w:rPr>
        <w:t>支出380538元，占一般公共预算财政拨款基本支出的5.89%，比2021年减少251202元，同比降低39.76%，主要原因为2021年度支出购房补贴256590元，2022年度无购房补贴支出。</w:t>
      </w:r>
    </w:p>
    <w:p>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right="0" w:rightChars="0"/>
        <w:jc w:val="both"/>
        <w:textAlignment w:val="auto"/>
        <w:outlineLvl w:val="9"/>
        <w:rPr>
          <w:rFonts w:hint="eastAsia" w:ascii="黑体" w:hAnsi="黑体" w:eastAsia="黑体" w:cs="黑体"/>
          <w:b w:val="0"/>
          <w:bCs w:val="0"/>
          <w:i w:val="0"/>
          <w:iCs w:val="0"/>
          <w:caps w:val="0"/>
          <w:color w:val="000000"/>
          <w:spacing w:val="0"/>
          <w:kern w:val="0"/>
          <w:sz w:val="32"/>
          <w:szCs w:val="36"/>
          <w:shd w:val="clear" w:fill="FFFFFF"/>
          <w:lang w:val="en-US" w:eastAsia="zh-CN" w:bidi="ar"/>
        </w:rPr>
      </w:pPr>
      <w:r>
        <w:rPr>
          <w:rFonts w:hint="eastAsia" w:ascii="黑体" w:hAnsi="黑体" w:eastAsia="黑体" w:cs="黑体"/>
          <w:b w:val="0"/>
          <w:bCs w:val="0"/>
          <w:i w:val="0"/>
          <w:iCs w:val="0"/>
          <w:caps w:val="0"/>
          <w:color w:val="000000"/>
          <w:spacing w:val="0"/>
          <w:kern w:val="0"/>
          <w:sz w:val="32"/>
          <w:szCs w:val="36"/>
          <w:shd w:val="clear" w:fill="FFFFFF"/>
          <w:lang w:val="en-US" w:eastAsia="zh-CN" w:bidi="ar"/>
        </w:rPr>
        <w:t xml:space="preserve">    七、2022年度一般公共预算财政拨款“三公”经费支出情况说明</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0"/>
        <w:jc w:val="both"/>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 xml:space="preserve"> 中共工布江达县委员会办公室2022年度“三公”经费决算数为66603.82元，比2021年减少187810.13元，同比降低73.82% 。主要原因为公车使用减少，油料费及维护费降低。</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leftChars="0" w:right="0" w:rightChars="0" w:firstLine="0" w:firstLineChars="0"/>
        <w:jc w:val="both"/>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 xml:space="preserve">    1、因公出国（境）费为0元，中共工布江达县委员会办公室2022年度无因公出国（境）情况。</w:t>
      </w:r>
    </w:p>
    <w:p>
      <w:pPr>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640"/>
        <w:jc w:val="left"/>
        <w:textAlignment w:val="auto"/>
        <w:outlineLvl w:val="9"/>
        <w:rPr>
          <w:rFonts w:hint="eastAsia" w:ascii="仿宋_GB2312" w:hAnsi="微软雅黑" w:eastAsia="仿宋_GB2312" w:cs="仿宋_GB2312"/>
          <w:i w:val="0"/>
          <w:iCs w:val="0"/>
          <w:caps w:val="0"/>
          <w:color w:val="000000"/>
          <w:spacing w:val="0"/>
          <w:kern w:val="0"/>
          <w:sz w:val="32"/>
          <w:szCs w:val="32"/>
          <w:shd w:val="clear" w:fill="FFFFFF"/>
          <w:lang w:val="en-US" w:eastAsia="zh-CN" w:bidi="ar"/>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公务接待费0元，中共工布江达县委员会办公室2022年度无公务接待费。</w:t>
      </w:r>
    </w:p>
    <w:p>
      <w:pPr>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640"/>
        <w:jc w:val="left"/>
        <w:textAlignment w:val="auto"/>
        <w:outlineLvl w:val="9"/>
        <w:rPr>
          <w:rFonts w:hint="eastAsia" w:ascii="仿宋_GB2312" w:hAnsi="微软雅黑" w:eastAsia="仿宋_GB2312" w:cs="仿宋_GB2312"/>
          <w:i w:val="0"/>
          <w:iCs w:val="0"/>
          <w:caps w:val="0"/>
          <w:color w:val="000000"/>
          <w:spacing w:val="0"/>
          <w:kern w:val="0"/>
          <w:sz w:val="32"/>
          <w:szCs w:val="32"/>
          <w:shd w:val="clear" w:fill="FFFFFF"/>
          <w:lang w:val="en-US" w:eastAsia="zh-CN" w:bidi="ar"/>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公务用车购置费0元，中共工布江达县委员会办公室2022年度未购置公车。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64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4、公务用车运行维护费66603.82元，占“三公”经费的100%，比上一年减少187810.13元，减少73.82% 。主要原因为公车使用减少，油料费及维护费降低。</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黑体" w:hAnsi="黑体" w:eastAsia="黑体" w:cs="黑体"/>
          <w:b w:val="0"/>
          <w:bCs w:val="0"/>
          <w:i w:val="0"/>
          <w:iCs w:val="0"/>
          <w:caps w:val="0"/>
          <w:color w:val="000000"/>
          <w:spacing w:val="0"/>
          <w:kern w:val="0"/>
          <w:sz w:val="32"/>
          <w:szCs w:val="36"/>
          <w:shd w:val="clear" w:fill="FFFFFF"/>
          <w:lang w:val="en-US" w:eastAsia="zh-CN" w:bidi="ar"/>
        </w:rPr>
        <w:t xml:space="preserve">    八、国有资本经营预算财政拨款收入支出情况说明</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b w:val="0"/>
          <w:bCs w:val="0"/>
          <w:i w:val="0"/>
          <w:iCs w:val="0"/>
          <w:caps w:val="0"/>
          <w:color w:val="000000"/>
          <w:spacing w:val="0"/>
          <w:sz w:val="32"/>
          <w:szCs w:val="32"/>
          <w:shd w:val="clear" w:fill="FFFFFF"/>
        </w:rPr>
        <w:t>工</w:t>
      </w:r>
      <w:r>
        <w:rPr>
          <w:rFonts w:hint="eastAsia" w:ascii="仿宋" w:hAnsi="仿宋" w:eastAsia="仿宋_GB2312" w:cs="仿宋"/>
          <w:i w:val="0"/>
          <w:iCs w:val="0"/>
          <w:caps w:val="0"/>
          <w:color w:val="000000"/>
          <w:spacing w:val="0"/>
          <w:sz w:val="32"/>
          <w:szCs w:val="32"/>
          <w:shd w:val="clear" w:fill="FFFFFF"/>
        </w:rPr>
        <w:t>布江达县</w:t>
      </w:r>
      <w:r>
        <w:rPr>
          <w:rFonts w:hint="eastAsia" w:ascii="仿宋_GB2312" w:hAnsi="微软雅黑" w:eastAsia="仿宋_GB2312" w:cs="仿宋_GB2312"/>
          <w:i w:val="0"/>
          <w:iCs w:val="0"/>
          <w:caps w:val="0"/>
          <w:color w:val="000000"/>
          <w:spacing w:val="0"/>
          <w:sz w:val="32"/>
          <w:szCs w:val="32"/>
          <w:shd w:val="clear" w:fill="FFFFFF"/>
          <w:lang w:eastAsia="zh-CN"/>
        </w:rPr>
        <w:t>中共工布江达县委员会办公室</w:t>
      </w:r>
      <w:r>
        <w:rPr>
          <w:rFonts w:hint="eastAsia" w:ascii="仿宋" w:hAnsi="仿宋" w:eastAsia="仿宋_GB2312" w:cs="仿宋"/>
          <w:i w:val="0"/>
          <w:iCs w:val="0"/>
          <w:caps w:val="0"/>
          <w:color w:val="000000"/>
          <w:spacing w:val="0"/>
          <w:sz w:val="32"/>
          <w:szCs w:val="32"/>
          <w:shd w:val="clear" w:fill="FFFFFF"/>
        </w:rPr>
        <w:t>无国有资本经营预算财政拨款收入支出。</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黑体" w:hAnsi="黑体" w:eastAsia="黑体" w:cs="黑体"/>
          <w:b w:val="0"/>
          <w:bCs w:val="0"/>
          <w:i w:val="0"/>
          <w:iCs w:val="0"/>
          <w:caps w:val="0"/>
          <w:color w:val="000000"/>
          <w:spacing w:val="0"/>
          <w:kern w:val="0"/>
          <w:sz w:val="32"/>
          <w:szCs w:val="36"/>
          <w:shd w:val="clear" w:fill="FFFFFF"/>
          <w:lang w:val="en-US" w:eastAsia="zh-CN" w:bidi="ar"/>
        </w:rPr>
        <w:t xml:space="preserve">    九、政府性基金预算财政拨款项目支出情况说明</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firstLineChars="0"/>
        <w:jc w:val="both"/>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i w:val="0"/>
          <w:iCs w:val="0"/>
          <w:caps w:val="0"/>
          <w:color w:val="000000"/>
          <w:spacing w:val="0"/>
          <w:sz w:val="32"/>
          <w:szCs w:val="32"/>
          <w:shd w:val="clear" w:fill="FFFFFF"/>
          <w:lang w:val="en-US" w:eastAsia="zh-CN"/>
        </w:rPr>
        <w:t xml:space="preserve">    </w:t>
      </w:r>
      <w:r>
        <w:rPr>
          <w:rFonts w:hint="eastAsia" w:ascii="仿宋_GB2312" w:hAnsi="微软雅黑" w:eastAsia="仿宋_GB2312" w:cs="仿宋_GB2312"/>
          <w:i w:val="0"/>
          <w:iCs w:val="0"/>
          <w:caps w:val="0"/>
          <w:color w:val="000000"/>
          <w:spacing w:val="0"/>
          <w:sz w:val="32"/>
          <w:szCs w:val="32"/>
          <w:shd w:val="clear" w:fill="FFFFFF"/>
          <w:lang w:eastAsia="zh-CN"/>
        </w:rPr>
        <w:t>中共工布江达县委员会办公室</w:t>
      </w:r>
      <w:r>
        <w:rPr>
          <w:rFonts w:hint="eastAsia" w:ascii="仿宋" w:hAnsi="仿宋" w:eastAsia="仿宋_GB2312" w:cs="仿宋"/>
          <w:i w:val="0"/>
          <w:iCs w:val="0"/>
          <w:caps w:val="0"/>
          <w:color w:val="000000"/>
          <w:spacing w:val="0"/>
          <w:sz w:val="32"/>
          <w:szCs w:val="32"/>
          <w:shd w:val="clear" w:fill="FFFFFF"/>
        </w:rPr>
        <w:t>无政府性基金预算财政拨款项目支出。</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0"/>
        <w:jc w:val="left"/>
        <w:textAlignment w:val="auto"/>
        <w:outlineLvl w:val="9"/>
        <w:rPr>
          <w:rFonts w:hint="eastAsia" w:ascii="仿宋" w:hAnsi="仿宋" w:eastAsia="仿宋_GB2312" w:cs="仿宋"/>
          <w:b/>
          <w:bCs/>
          <w:i w:val="0"/>
          <w:iCs w:val="0"/>
          <w:caps w:val="0"/>
          <w:color w:val="000000"/>
          <w:spacing w:val="0"/>
          <w:kern w:val="0"/>
          <w:sz w:val="32"/>
          <w:szCs w:val="36"/>
          <w:shd w:val="clear" w:fill="FFFFFF"/>
          <w:lang w:val="en-US" w:eastAsia="zh-CN" w:bidi="ar"/>
        </w:rPr>
      </w:pPr>
      <w:r>
        <w:rPr>
          <w:rFonts w:hint="eastAsia" w:ascii="仿宋" w:hAnsi="仿宋" w:eastAsia="仿宋_GB2312" w:cs="仿宋"/>
          <w:b/>
          <w:bCs/>
          <w:i w:val="0"/>
          <w:iCs w:val="0"/>
          <w:caps w:val="0"/>
          <w:color w:val="000000"/>
          <w:spacing w:val="0"/>
          <w:kern w:val="0"/>
          <w:sz w:val="32"/>
          <w:szCs w:val="36"/>
          <w:shd w:val="clear" w:fill="FFFFFF"/>
          <w:lang w:val="en-US" w:eastAsia="zh-CN" w:bidi="ar"/>
        </w:rPr>
        <w:t xml:space="preserve">    </w:t>
      </w:r>
      <w:r>
        <w:rPr>
          <w:rFonts w:hint="eastAsia" w:ascii="黑体" w:hAnsi="黑体" w:eastAsia="黑体" w:cs="黑体"/>
          <w:b w:val="0"/>
          <w:bCs w:val="0"/>
          <w:i w:val="0"/>
          <w:iCs w:val="0"/>
          <w:caps w:val="0"/>
          <w:color w:val="000000"/>
          <w:spacing w:val="0"/>
          <w:kern w:val="0"/>
          <w:sz w:val="32"/>
          <w:szCs w:val="36"/>
          <w:shd w:val="clear" w:fill="FFFFFF"/>
          <w:lang w:val="en-US" w:eastAsia="zh-CN" w:bidi="ar"/>
        </w:rPr>
        <w:t>十、其他重要事项情况说明</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0"/>
        <w:jc w:val="both"/>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（一）机关运行经费支出情况。</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中共工布江达县委员会办公室2022年度机关运行经费334185.91元，比2021年减少18589.27元，同比降低5.27%，主要原因为当年公车运行维护费用支出降低。</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0"/>
        <w:jc w:val="both"/>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（二）会议费支出情况。</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中共工布江达县委员会办公室2022年度会议费23780元，比2021年减少2220元，同比降低8.54%，主要原因为当年会议规模收缩，相关支出有所控制。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0"/>
        <w:jc w:val="both"/>
        <w:textAlignment w:val="auto"/>
        <w:outlineLvl w:val="9"/>
        <w:rPr>
          <w:rFonts w:hint="eastAsia" w:ascii="仿宋_GB2312" w:hAnsi="微软雅黑" w:eastAsia="仿宋_GB2312" w:cs="仿宋_GB2312"/>
          <w:i w:val="0"/>
          <w:iCs w:val="0"/>
          <w:caps w:val="0"/>
          <w:color w:val="000000"/>
          <w:spacing w:val="0"/>
          <w:kern w:val="0"/>
          <w:sz w:val="32"/>
          <w:szCs w:val="32"/>
          <w:shd w:val="clear" w:fill="FFFFFF"/>
          <w:lang w:val="en-US" w:eastAsia="zh-CN" w:bidi="ar"/>
        </w:rPr>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（三）培训费支出情况。</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中共工布江达县委员会办公室2022</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right="0"/>
        <w:jc w:val="both"/>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年度培训费支出7121.1元，比2021年减少2269.9元，同比降低24.17%，主要原因为当年控制外出培训次数、与培训支出。</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（四）国有资产占有使用情况。</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截止2022年年底，中共工布江达县委员会办公室共有车辆1辆，其中一般公务用车1辆。固定资产总额4018469元。其中：房屋类固定资产3417700.00元，占资产总额的85.05%；车辆类固定资产600769元，占资产总额14.95%；其他固定资产0元，占资产总额的0%。</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（五）政府采购情况。</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中共工布江达县委员会办公室2022年度无政府采购。</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（六）预算绩效情况。</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2022年度本单位无绩效评价项目共23个，编制绩效目标23个，涉及金额2960500元。主要用于机要保密会议室装修及设备购置费、车辆运行维护费、年鉴编撰经费等支出。我单位通过绩效评价衡量和考核预算部门整体支出的绩效，了解、分析、检验部门资金使用是否达到预期目标，资金管理是否规范，资金使用是否有效，通过总结经验，分析问题，采取切实措施促进预算绩效管理工 作制度化、规范化、科学化，加快全过程预算绩效管理体系的建设，提升预算绩效管理水平和能力，进一步提高资源配置效率和使用效益，促进政府职能部门履职能力的提升。</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48" w:right="25" w:firstLine="559"/>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i w:val="0"/>
          <w:iCs w:val="0"/>
          <w:caps w:val="0"/>
          <w:color w:val="000000"/>
          <w:spacing w:val="0"/>
          <w:sz w:val="32"/>
          <w:szCs w:val="32"/>
          <w:shd w:val="clear" w:fill="FFFFFF"/>
        </w:rPr>
        <w:t>根据预算资金使用情况，我们从部门决策、部门过程、部门产出、部门效益方面进行综合评价，工布江达县党委办部门整体支出各部分绩效评价得分如下：</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607" w:right="0" w:firstLine="0"/>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i w:val="0"/>
          <w:iCs w:val="0"/>
          <w:caps w:val="0"/>
          <w:color w:val="000000"/>
          <w:spacing w:val="0"/>
          <w:sz w:val="32"/>
          <w:szCs w:val="32"/>
          <w:shd w:val="clear" w:fill="FFFFFF"/>
        </w:rPr>
        <w:t>部门决策指标分值 13.00 分，评价得分 6.00 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607" w:right="0" w:firstLine="0"/>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i w:val="0"/>
          <w:iCs w:val="0"/>
          <w:caps w:val="0"/>
          <w:color w:val="000000"/>
          <w:spacing w:val="0"/>
          <w:sz w:val="32"/>
          <w:szCs w:val="32"/>
          <w:shd w:val="clear" w:fill="FFFFFF"/>
        </w:rPr>
        <w:t>部门过程指标分值 22.00 分，评价得分 17.00 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607" w:right="0" w:firstLine="0"/>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i w:val="0"/>
          <w:iCs w:val="0"/>
          <w:caps w:val="0"/>
          <w:color w:val="000000"/>
          <w:spacing w:val="0"/>
          <w:sz w:val="32"/>
          <w:szCs w:val="32"/>
          <w:shd w:val="clear" w:fill="FFFFFF"/>
        </w:rPr>
        <w:t>部门产出指标分值 32.00 分，评价得分 32.00 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607" w:right="0" w:firstLine="0"/>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i w:val="0"/>
          <w:iCs w:val="0"/>
          <w:caps w:val="0"/>
          <w:color w:val="000000"/>
          <w:spacing w:val="0"/>
          <w:sz w:val="32"/>
          <w:szCs w:val="32"/>
          <w:shd w:val="clear" w:fill="FFFFFF"/>
        </w:rPr>
        <w:t>部门效益指标分值 33.00 分，评价得分 17.00 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614" w:right="0" w:firstLine="0"/>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i w:val="0"/>
          <w:iCs w:val="0"/>
          <w:caps w:val="0"/>
          <w:color w:val="000000"/>
          <w:spacing w:val="0"/>
          <w:sz w:val="32"/>
          <w:szCs w:val="32"/>
          <w:shd w:val="clear" w:fill="FFFFFF"/>
        </w:rPr>
        <w:t>最终综合评价得分为 72.00 分，评价等级为中。</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leftChars="0" w:right="0" w:rightChars="0" w:firstLine="640" w:firstLineChars="200"/>
        <w:jc w:val="left"/>
        <w:textAlignment w:val="auto"/>
        <w:outlineLvl w:val="9"/>
        <w:rPr>
          <w:rFonts w:hint="eastAsia" w:ascii="黑体" w:hAnsi="黑体" w:eastAsia="黑体" w:cs="黑体"/>
          <w:b w:val="0"/>
          <w:bCs w:val="0"/>
          <w:i w:val="0"/>
          <w:iCs w:val="0"/>
          <w:caps w:val="0"/>
          <w:color w:val="000000"/>
          <w:spacing w:val="0"/>
          <w:kern w:val="0"/>
          <w:sz w:val="32"/>
          <w:szCs w:val="36"/>
          <w:shd w:val="clear" w:fill="FFFFFF"/>
          <w:lang w:val="en-US" w:eastAsia="zh-CN" w:bidi="ar"/>
        </w:rPr>
      </w:pPr>
      <w:r>
        <w:rPr>
          <w:rFonts w:hint="eastAsia" w:ascii="黑体" w:hAnsi="黑体" w:eastAsia="黑体" w:cs="黑体"/>
          <w:b w:val="0"/>
          <w:bCs w:val="0"/>
          <w:i w:val="0"/>
          <w:iCs w:val="0"/>
          <w:caps w:val="0"/>
          <w:color w:val="000000"/>
          <w:spacing w:val="0"/>
          <w:kern w:val="0"/>
          <w:sz w:val="32"/>
          <w:szCs w:val="36"/>
          <w:shd w:val="clear" w:fill="FFFFFF"/>
          <w:lang w:val="en-US" w:eastAsia="zh-CN" w:bidi="ar"/>
        </w:rPr>
        <w:t>十一、重点、重大项目信息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0"/>
        <w:jc w:val="left"/>
        <w:textAlignment w:val="auto"/>
        <w:outlineLvl w:val="9"/>
        <w:rPr>
          <w:rFonts w:hint="eastAsia" w:ascii="仿宋_GB2312" w:hAnsi="微软雅黑" w:eastAsia="仿宋_GB2312" w:cs="仿宋_GB2312"/>
          <w:i w:val="0"/>
          <w:iCs w:val="0"/>
          <w:caps w:val="0"/>
          <w:color w:val="000000"/>
          <w:spacing w:val="0"/>
          <w:kern w:val="0"/>
          <w:sz w:val="32"/>
          <w:szCs w:val="32"/>
          <w:shd w:val="clear" w:fill="FFFFFF"/>
          <w:lang w:val="en-US" w:eastAsia="zh-CN" w:bidi="ar"/>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 xml:space="preserve"> 2022年中共工布江达县委员会办公室无重大项目。</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leftChars="0" w:right="0" w:rightChars="0" w:firstLine="640" w:firstLineChars="20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黑体" w:hAnsi="黑体" w:eastAsia="黑体" w:cs="黑体"/>
          <w:b w:val="0"/>
          <w:bCs w:val="0"/>
          <w:i w:val="0"/>
          <w:iCs w:val="0"/>
          <w:caps w:val="0"/>
          <w:color w:val="000000"/>
          <w:spacing w:val="0"/>
          <w:kern w:val="0"/>
          <w:sz w:val="32"/>
          <w:szCs w:val="36"/>
          <w:shd w:val="clear" w:fill="FFFFFF"/>
          <w:lang w:val="en-US" w:eastAsia="zh-CN" w:bidi="ar"/>
        </w:rPr>
        <w:t>十二、举借债务情况说明</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 w:hAnsi="仿宋" w:eastAsia="仿宋_GB2312" w:cs="仿宋"/>
          <w:i w:val="0"/>
          <w:iCs w:val="0"/>
          <w:caps w:val="0"/>
          <w:color w:val="000000"/>
          <w:spacing w:val="0"/>
          <w:sz w:val="32"/>
          <w:szCs w:val="32"/>
          <w:shd w:val="clear" w:fill="FFFFFF"/>
        </w:rPr>
        <w:t>2022年工布江达县</w:t>
      </w:r>
      <w:r>
        <w:rPr>
          <w:rFonts w:hint="eastAsia" w:ascii="仿宋_GB2312" w:hAnsi="微软雅黑" w:eastAsia="仿宋_GB2312" w:cs="仿宋_GB2312"/>
          <w:i w:val="0"/>
          <w:iCs w:val="0"/>
          <w:caps w:val="0"/>
          <w:color w:val="000000"/>
          <w:spacing w:val="0"/>
          <w:sz w:val="32"/>
          <w:szCs w:val="32"/>
          <w:shd w:val="clear" w:fill="FFFFFF"/>
          <w:lang w:eastAsia="zh-CN"/>
        </w:rPr>
        <w:t>中共工布江达县委员会办公室</w:t>
      </w:r>
      <w:r>
        <w:rPr>
          <w:rFonts w:hint="eastAsia" w:ascii="仿宋" w:hAnsi="仿宋" w:eastAsia="仿宋_GB2312" w:cs="仿宋"/>
          <w:i w:val="0"/>
          <w:iCs w:val="0"/>
          <w:caps w:val="0"/>
          <w:color w:val="000000"/>
          <w:spacing w:val="0"/>
          <w:sz w:val="32"/>
          <w:szCs w:val="32"/>
          <w:shd w:val="clear" w:fill="FFFFFF"/>
        </w:rPr>
        <w:t>无举借债务情况。</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480"/>
        <w:jc w:val="left"/>
        <w:textAlignment w:val="auto"/>
        <w:outlineLvl w:val="9"/>
        <w:rPr>
          <w:rFonts w:hint="eastAsia" w:ascii="微软雅黑" w:hAnsi="微软雅黑" w:eastAsia="仿宋_GB2312" w:cs="微软雅黑"/>
          <w:i w:val="0"/>
          <w:iCs w:val="0"/>
          <w:caps w:val="0"/>
          <w:color w:val="000000"/>
          <w:spacing w:val="0"/>
          <w:sz w:val="32"/>
          <w:szCs w:val="24"/>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480" w:right="0" w:firstLine="0"/>
        <w:jc w:val="center"/>
        <w:textAlignment w:val="auto"/>
        <w:outlineLvl w:val="9"/>
        <w:rPr>
          <w:rFonts w:hint="eastAsia" w:ascii="方正小标宋简体" w:hAnsi="方正小标宋简体" w:eastAsia="方正小标宋简体" w:cs="方正小标宋简体"/>
          <w:i w:val="0"/>
          <w:iCs w:val="0"/>
          <w:caps w:val="0"/>
          <w:color w:val="000000"/>
          <w:spacing w:val="0"/>
          <w:kern w:val="0"/>
          <w:sz w:val="44"/>
          <w:szCs w:val="44"/>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480" w:right="0" w:firstLine="0"/>
        <w:jc w:val="center"/>
        <w:textAlignment w:val="auto"/>
        <w:outlineLvl w:val="9"/>
        <w:rPr>
          <w:rFonts w:hint="eastAsia" w:ascii="方正小标宋简体" w:hAnsi="方正小标宋简体" w:eastAsia="方正小标宋简体" w:cs="方正小标宋简体"/>
          <w:i w:val="0"/>
          <w:iCs w:val="0"/>
          <w:caps w:val="0"/>
          <w:color w:val="000000"/>
          <w:spacing w:val="0"/>
          <w:kern w:val="0"/>
          <w:sz w:val="44"/>
          <w:szCs w:val="44"/>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480" w:right="0" w:firstLine="0"/>
        <w:jc w:val="center"/>
        <w:textAlignment w:val="auto"/>
        <w:outlineLvl w:val="9"/>
        <w:rPr>
          <w:rFonts w:hint="eastAsia" w:ascii="方正小标宋简体" w:hAnsi="方正小标宋简体" w:eastAsia="方正小标宋简体" w:cs="方正小标宋简体"/>
          <w:i w:val="0"/>
          <w:iCs w:val="0"/>
          <w:caps w:val="0"/>
          <w:color w:val="000000"/>
          <w:spacing w:val="0"/>
          <w:kern w:val="0"/>
          <w:sz w:val="44"/>
          <w:szCs w:val="44"/>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480" w:right="0" w:firstLine="0"/>
        <w:jc w:val="center"/>
        <w:textAlignment w:val="auto"/>
        <w:outlineLvl w:val="9"/>
        <w:rPr>
          <w:rFonts w:hint="eastAsia" w:ascii="方正小标宋简体" w:hAnsi="方正小标宋简体" w:eastAsia="方正小标宋简体" w:cs="方正小标宋简体"/>
          <w:i w:val="0"/>
          <w:iCs w:val="0"/>
          <w:caps w:val="0"/>
          <w:color w:val="000000"/>
          <w:spacing w:val="0"/>
          <w:kern w:val="0"/>
          <w:sz w:val="44"/>
          <w:szCs w:val="44"/>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480" w:right="0" w:firstLine="0"/>
        <w:jc w:val="center"/>
        <w:textAlignment w:val="auto"/>
        <w:outlineLvl w:val="9"/>
        <w:rPr>
          <w:rFonts w:hint="eastAsia" w:ascii="方正小标宋简体" w:hAnsi="方正小标宋简体" w:eastAsia="方正小标宋简体" w:cs="方正小标宋简体"/>
          <w:i w:val="0"/>
          <w:iCs w:val="0"/>
          <w:caps w:val="0"/>
          <w:color w:val="000000"/>
          <w:spacing w:val="0"/>
          <w:kern w:val="0"/>
          <w:sz w:val="44"/>
          <w:szCs w:val="44"/>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480" w:right="0" w:firstLine="0"/>
        <w:jc w:val="center"/>
        <w:textAlignment w:val="auto"/>
        <w:outlineLvl w:val="9"/>
        <w:rPr>
          <w:rFonts w:hint="eastAsia" w:ascii="方正小标宋简体" w:hAnsi="方正小标宋简体" w:eastAsia="方正小标宋简体" w:cs="方正小标宋简体"/>
          <w:i w:val="0"/>
          <w:iCs w:val="0"/>
          <w:caps w:val="0"/>
          <w:color w:val="000000"/>
          <w:spacing w:val="0"/>
          <w:kern w:val="0"/>
          <w:sz w:val="44"/>
          <w:szCs w:val="44"/>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480" w:right="0" w:firstLine="0"/>
        <w:jc w:val="center"/>
        <w:textAlignment w:val="auto"/>
        <w:outlineLvl w:val="9"/>
        <w:rPr>
          <w:rFonts w:hint="eastAsia" w:ascii="方正小标宋简体" w:hAnsi="方正小标宋简体" w:eastAsia="方正小标宋简体" w:cs="方正小标宋简体"/>
          <w:i w:val="0"/>
          <w:iCs w:val="0"/>
          <w:caps w:val="0"/>
          <w:color w:val="000000"/>
          <w:spacing w:val="0"/>
          <w:kern w:val="0"/>
          <w:sz w:val="44"/>
          <w:szCs w:val="44"/>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480" w:right="0" w:firstLine="0"/>
        <w:jc w:val="center"/>
        <w:textAlignment w:val="auto"/>
        <w:outlineLvl w:val="9"/>
        <w:rPr>
          <w:rFonts w:hint="eastAsia" w:ascii="方正小标宋简体" w:hAnsi="方正小标宋简体" w:eastAsia="方正小标宋简体" w:cs="方正小标宋简体"/>
          <w:i w:val="0"/>
          <w:iCs w:val="0"/>
          <w:caps w:val="0"/>
          <w:color w:val="000000"/>
          <w:spacing w:val="0"/>
          <w:kern w:val="0"/>
          <w:sz w:val="44"/>
          <w:szCs w:val="44"/>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480" w:right="0" w:firstLine="0"/>
        <w:jc w:val="center"/>
        <w:textAlignment w:val="auto"/>
        <w:outlineLvl w:val="9"/>
        <w:rPr>
          <w:rFonts w:hint="eastAsia" w:ascii="方正小标宋简体" w:hAnsi="方正小标宋简体" w:eastAsia="方正小标宋简体" w:cs="方正小标宋简体"/>
          <w:i w:val="0"/>
          <w:iCs w:val="0"/>
          <w:caps w:val="0"/>
          <w:color w:val="000000"/>
          <w:spacing w:val="0"/>
          <w:kern w:val="0"/>
          <w:sz w:val="44"/>
          <w:szCs w:val="44"/>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480" w:right="0" w:firstLine="0"/>
        <w:jc w:val="center"/>
        <w:textAlignment w:val="auto"/>
        <w:outlineLvl w:val="9"/>
        <w:rPr>
          <w:rFonts w:hint="eastAsia" w:ascii="方正小标宋简体" w:hAnsi="方正小标宋简体" w:eastAsia="方正小标宋简体" w:cs="方正小标宋简体"/>
          <w:i w:val="0"/>
          <w:iCs w:val="0"/>
          <w:caps w:val="0"/>
          <w:color w:val="000000"/>
          <w:spacing w:val="0"/>
          <w:kern w:val="0"/>
          <w:sz w:val="44"/>
          <w:szCs w:val="44"/>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480" w:right="0" w:firstLine="0"/>
        <w:jc w:val="center"/>
        <w:textAlignment w:val="auto"/>
        <w:outlineLvl w:val="9"/>
        <w:rPr>
          <w:rFonts w:hint="eastAsia" w:ascii="方正小标宋简体" w:hAnsi="方正小标宋简体" w:eastAsia="方正小标宋简体" w:cs="方正小标宋简体"/>
          <w:i w:val="0"/>
          <w:iCs w:val="0"/>
          <w:caps w:val="0"/>
          <w:color w:val="000000"/>
          <w:spacing w:val="0"/>
          <w:kern w:val="0"/>
          <w:sz w:val="44"/>
          <w:szCs w:val="44"/>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480" w:right="0" w:firstLine="0"/>
        <w:jc w:val="center"/>
        <w:textAlignment w:val="auto"/>
        <w:outlineLvl w:val="9"/>
        <w:rPr>
          <w:rFonts w:hint="eastAsia" w:ascii="方正小标宋简体" w:hAnsi="方正小标宋简体" w:eastAsia="方正小标宋简体" w:cs="方正小标宋简体"/>
          <w:i w:val="0"/>
          <w:iCs w:val="0"/>
          <w:caps w:val="0"/>
          <w:color w:val="000000"/>
          <w:spacing w:val="0"/>
          <w:kern w:val="0"/>
          <w:sz w:val="44"/>
          <w:szCs w:val="44"/>
          <w:shd w:val="clear" w:fill="FFFFFF"/>
          <w:lang w:val="en-US" w:eastAsia="zh-CN" w:bidi="ar"/>
        </w:rPr>
      </w:pPr>
      <w:bookmarkStart w:id="0" w:name="_GoBack"/>
      <w:bookmarkEnd w:id="0"/>
      <w:r>
        <w:rPr>
          <w:rFonts w:hint="eastAsia" w:ascii="方正小标宋简体" w:hAnsi="方正小标宋简体" w:eastAsia="方正小标宋简体" w:cs="方正小标宋简体"/>
          <w:i w:val="0"/>
          <w:iCs w:val="0"/>
          <w:caps w:val="0"/>
          <w:color w:val="000000"/>
          <w:spacing w:val="0"/>
          <w:kern w:val="0"/>
          <w:sz w:val="44"/>
          <w:szCs w:val="44"/>
          <w:shd w:val="clear" w:fill="FFFFFF"/>
          <w:lang w:val="en-US" w:eastAsia="zh-CN" w:bidi="ar"/>
        </w:rPr>
        <w:t>第四部分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480" w:right="0" w:firstLine="0"/>
        <w:jc w:val="center"/>
        <w:textAlignment w:val="auto"/>
        <w:outlineLvl w:val="9"/>
        <w:rPr>
          <w:rFonts w:hint="eastAsia" w:ascii="方正小标宋简体" w:hAnsi="方正小标宋简体" w:eastAsia="方正小标宋简体" w:cs="方正小标宋简体"/>
          <w:i w:val="0"/>
          <w:iCs w:val="0"/>
          <w:caps w:val="0"/>
          <w:color w:val="000000"/>
          <w:spacing w:val="0"/>
          <w:kern w:val="0"/>
          <w:sz w:val="44"/>
          <w:szCs w:val="44"/>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480" w:right="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rPr>
      </w:pPr>
      <w:r>
        <w:rPr>
          <w:rFonts w:hint="eastAsia" w:ascii="方正小标宋简体" w:hAnsi="方正小标宋简体" w:eastAsia="方正小标宋简体" w:cs="方正小标宋简体"/>
          <w:i w:val="0"/>
          <w:iCs w:val="0"/>
          <w:caps w:val="0"/>
          <w:color w:val="000000"/>
          <w:spacing w:val="0"/>
          <w:kern w:val="0"/>
          <w:sz w:val="44"/>
          <w:szCs w:val="44"/>
          <w:shd w:val="clear" w:fill="FFFFFF"/>
          <w:lang w:val="en-US" w:eastAsia="zh-CN" w:bidi="ar"/>
        </w:rPr>
        <w:t>名词解释</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630"/>
        <w:jc w:val="left"/>
        <w:textAlignment w:val="auto"/>
        <w:outlineLvl w:val="9"/>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63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一、一般公共预算拨款收入，</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指财政当年拨付的资金。</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63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二、一般行政管理事务，</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指用于保障完成日常工作任务而发生的基本支出。</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63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三、行政运行，</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指用于保障完成日常工作任务而发生的基本支出。</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63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四、专项业务，</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指用于专项事务相关的支出。</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63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五、其他党委办公厅（室）及相关机构事务支出，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指用于其他党办事务方面的支出。</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63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六、住房保障支出（类）住房改革支出（款），</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指按照国家政策规定用于住房改革方面的支出。</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643"/>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七、基本支出，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指为保障机构正常运转，完成日常工作任务而发生的人员支出和公用支出。</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643"/>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八、项目支出，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指在基本支出之外为完成特定行政任务和事业发展目标所发生的支出。、</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643"/>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九、“三公”经费，</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纳入中央财政预算管理的“三公”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76" w:lineRule="exact"/>
        <w:ind w:left="0" w:right="0" w:firstLine="630"/>
        <w:jc w:val="left"/>
        <w:textAlignment w:val="auto"/>
        <w:outlineLvl w:val="9"/>
        <w:rPr>
          <w:rFonts w:hint="eastAsia" w:ascii="微软雅黑" w:hAnsi="微软雅黑" w:eastAsia="仿宋_GB2312" w:cs="微软雅黑"/>
          <w:i w:val="0"/>
          <w:iCs w:val="0"/>
          <w:caps w:val="0"/>
          <w:color w:val="000000"/>
          <w:spacing w:val="0"/>
          <w:sz w:val="32"/>
          <w:szCs w:val="24"/>
        </w:rPr>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十、机关运行经费，</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为保障行政单位（包括参照公务员法管理的事业单位）运行用于购买货物和服务的各项资金，包括办公及印刷费、邮电费、差旅费、会议费、福利费、维修（护）费、专用材料及一般设备购置费、办公用房水电费、办公用房取暖费、办公用房物业管理费、公务用车运行维护费以及其他费用。</w:t>
      </w:r>
    </w:p>
    <w:p>
      <w:pPr>
        <w:keepNext w:val="0"/>
        <w:keepLines w:val="0"/>
        <w:pageBreakBefore w:val="0"/>
        <w:kinsoku/>
        <w:wordWrap/>
        <w:overflowPunct/>
        <w:topLinePunct w:val="0"/>
        <w:autoSpaceDE/>
        <w:autoSpaceDN/>
        <w:bidi w:val="0"/>
        <w:adjustRightInd/>
        <w:snapToGrid/>
        <w:spacing w:line="576" w:lineRule="exact"/>
        <w:textAlignment w:val="auto"/>
        <w:outlineLvl w:val="9"/>
        <w:rPr>
          <w:rFonts w:eastAsia="仿宋_GB2312"/>
          <w:sz w:val="32"/>
        </w:rPr>
      </w:pPr>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modern"/>
    <w:pitch w:val="default"/>
    <w:sig w:usb0="E00002FF" w:usb1="400004FF" w:usb2="00000000" w:usb3="00000000" w:csb0="2000019F" w:csb1="00000000"/>
  </w:font>
  <w:font w:name="Calibri">
    <w:panose1 w:val="020F0502020204030204"/>
    <w:charset w:val="00"/>
    <w:family w:val="decorative"/>
    <w:pitch w:val="default"/>
    <w:sig w:usb0="E00002FF" w:usb1="4000ACFF" w:usb2="00000001" w:usb3="00000000" w:csb0="2000019F" w:csb1="00000000"/>
  </w:font>
  <w:font w:name="Arial">
    <w:panose1 w:val="020B0604020202020204"/>
    <w:charset w:val="01"/>
    <w:family w:val="decorative"/>
    <w:pitch w:val="default"/>
    <w:sig w:usb0="E0002AFF" w:usb1="C0007843" w:usb2="00000009" w:usb3="00000000" w:csb0="400001FF" w:csb1="FFFF0000"/>
  </w:font>
  <w:font w:name="Courier New">
    <w:panose1 w:val="02070309020205020404"/>
    <w:charset w:val="01"/>
    <w:family w:val="swiss"/>
    <w:pitch w:val="default"/>
    <w:sig w:usb0="E0002A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Cambria">
    <w:panose1 w:val="02040503050406030204"/>
    <w:charset w:val="00"/>
    <w:family w:val="swiss"/>
    <w:pitch w:val="default"/>
    <w:sig w:usb0="E00002FF" w:usb1="400004FF" w:usb2="00000000" w:usb3="00000000" w:csb0="2000019F" w:csb1="00000000"/>
  </w:font>
  <w:font w:name="Calibri">
    <w:panose1 w:val="020F0502020204030204"/>
    <w:charset w:val="00"/>
    <w:family w:val="roman"/>
    <w:pitch w:val="default"/>
    <w:sig w:usb0="E00002FF" w:usb1="4000ACFF" w:usb2="00000001" w:usb3="00000000" w:csb0="2000019F" w:csb1="00000000"/>
  </w:font>
  <w:font w:name="Arial">
    <w:panose1 w:val="020B0604020202020204"/>
    <w:charset w:val="01"/>
    <w:family w:val="roman"/>
    <w:pitch w:val="default"/>
    <w:sig w:usb0="E0002AFF" w:usb1="C0007843" w:usb2="00000009" w:usb3="00000000" w:csb0="400001FF" w:csb1="FFFF0000"/>
  </w:font>
  <w:font w:name="Courier New">
    <w:panose1 w:val="02070309020205020404"/>
    <w:charset w:val="01"/>
    <w:family w:val="decorative"/>
    <w:pitch w:val="default"/>
    <w:sig w:usb0="E0002AFF" w:usb1="C0007843" w:usb2="00000009" w:usb3="00000000" w:csb0="400001FF" w:csb1="FFFF0000"/>
  </w:font>
  <w:font w:name="Symbol">
    <w:panose1 w:val="05050102010706020507"/>
    <w:charset w:val="02"/>
    <w:family w:val="swiss"/>
    <w:pitch w:val="default"/>
    <w:sig w:usb0="00000000" w:usb1="00000000" w:usb2="00000000" w:usb3="00000000" w:csb0="80000000" w:csb1="00000000"/>
  </w:font>
  <w:font w:name="Cambria">
    <w:panose1 w:val="02040503050406030204"/>
    <w:charset w:val="00"/>
    <w:family w:val="decorative"/>
    <w:pitch w:val="default"/>
    <w:sig w:usb0="E00002FF" w:usb1="400004FF" w:usb2="00000000" w:usb3="00000000" w:csb0="2000019F" w:csb1="00000000"/>
  </w:font>
  <w:font w:name="Calibri">
    <w:panose1 w:val="020F0502020204030204"/>
    <w:charset w:val="00"/>
    <w:family w:val="modern"/>
    <w:pitch w:val="default"/>
    <w:sig w:usb0="E00002FF" w:usb1="4000ACFF" w:usb2="00000001" w:usb3="00000000" w:csb0="2000019F" w:csb1="00000000"/>
  </w:font>
  <w:font w:name="Arial">
    <w:panose1 w:val="020B0604020202020204"/>
    <w:charset w:val="01"/>
    <w:family w:val="modern"/>
    <w:pitch w:val="default"/>
    <w:sig w:usb0="E0002AFF" w:usb1="C0007843" w:usb2="00000009" w:usb3="00000000" w:csb0="400001FF" w:csb1="FFFF0000"/>
  </w:font>
  <w:font w:name="Courier New">
    <w:panose1 w:val="02070309020205020404"/>
    <w:charset w:val="01"/>
    <w:family w:val="roman"/>
    <w:pitch w:val="default"/>
    <w:sig w:usb0="E0002AFF" w:usb1="C0007843" w:usb2="00000009" w:usb3="00000000" w:csb0="400001FF" w:csb1="FFFF0000"/>
  </w:font>
  <w:font w:name="Symbol">
    <w:panose1 w:val="05050102010706020507"/>
    <w:charset w:val="02"/>
    <w:family w:val="decorative"/>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Arial">
    <w:panose1 w:val="020B0604020202020204"/>
    <w:charset w:val="00"/>
    <w:family w:val="auto"/>
    <w:pitch w:val="default"/>
    <w:sig w:usb0="E0002AFF" w:usb1="C0007843" w:usb2="00000009" w:usb3="00000000" w:csb0="400001FF" w:csb1="FFFF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roman"/>
    <w:pitch w:val="default"/>
    <w:sig w:usb0="800002BF" w:usb1="38CF7CFA" w:usb2="00000016" w:usb3="00000000" w:csb0="00040001" w:csb1="00000000"/>
  </w:font>
  <w:font w:name="仿宋_GB2312">
    <w:panose1 w:val="02010609030101010101"/>
    <w:charset w:val="86"/>
    <w:family w:val="roman"/>
    <w:pitch w:val="default"/>
    <w:sig w:usb0="00000001" w:usb1="080E0000" w:usb2="00000000" w:usb3="00000000" w:csb0="00040000" w:csb1="00000000"/>
  </w:font>
  <w:font w:name="楷体">
    <w:panose1 w:val="02010609060101010101"/>
    <w:charset w:val="86"/>
    <w:family w:val="roman"/>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方正小标宋简体">
    <w:panose1 w:val="00000600000000000000"/>
    <w:charset w:val="86"/>
    <w:family w:val="auto"/>
    <w:pitch w:val="default"/>
    <w:sig w:usb0="800002BF" w:usb1="184F6CF8" w:usb2="00000012" w:usb3="00000000" w:csb0="00160001" w:csb1="1203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swiss"/>
    <w:pitch w:val="default"/>
    <w:sig w:usb0="800002BF" w:usb1="38CF7CFA" w:usb2="00000016" w:usb3="00000000" w:csb0="00040001" w:csb1="00000000"/>
  </w:font>
  <w:font w:name="仿宋_GB2312">
    <w:panose1 w:val="02010609030101010101"/>
    <w:charset w:val="86"/>
    <w:family w:val="swiss"/>
    <w:pitch w:val="default"/>
    <w:sig w:usb0="00000001" w:usb1="080E0000" w:usb2="00000000" w:usb3="00000000" w:csb0="00040000" w:csb1="00000000"/>
  </w:font>
  <w:font w:name="楷体">
    <w:panose1 w:val="02010609060101010101"/>
    <w:charset w:val="86"/>
    <w:family w:val="swiss"/>
    <w:pitch w:val="default"/>
    <w:sig w:usb0="800002BF" w:usb1="38CF7CFA" w:usb2="00000016" w:usb3="00000000" w:csb0="00040001" w:csb1="00000000"/>
  </w:font>
  <w:font w:name="仿宋">
    <w:panose1 w:val="02010609060101010101"/>
    <w:charset w:val="86"/>
    <w:family w:val="decorative"/>
    <w:pitch w:val="default"/>
    <w:sig w:usb0="800002BF" w:usb1="38CF7CFA" w:usb2="00000016" w:usb3="00000000" w:csb0="00040001" w:csb1="00000000"/>
  </w:font>
  <w:font w:name="仿宋_GB2312">
    <w:panose1 w:val="02010609030101010101"/>
    <w:charset w:val="86"/>
    <w:family w:val="decorative"/>
    <w:pitch w:val="default"/>
    <w:sig w:usb0="00000001" w:usb1="080E0000" w:usb2="00000000" w:usb3="00000000" w:csb0="00040000" w:csb1="00000000"/>
  </w:font>
  <w:font w:name="楷体">
    <w:panose1 w:val="02010609060101010101"/>
    <w:charset w:val="86"/>
    <w:family w:val="decorative"/>
    <w:pitch w:val="default"/>
    <w:sig w:usb0="800002BF" w:usb1="38CF7CFA" w:usb2="00000016" w:usb3="00000000" w:csb0="00040001" w:csb1="00000000"/>
  </w:font>
  <w:font w:name="Calibri Light">
    <w:panose1 w:val="020F0302020204030204"/>
    <w:charset w:val="00"/>
    <w:family w:val="auto"/>
    <w:pitch w:val="default"/>
    <w:sig w:usb0="A00002EF" w:usb1="4000207B" w:usb2="00000000" w:usb3="00000000" w:csb0="2000019F" w:csb1="00000000"/>
  </w:font>
  <w:font w:name="仿宋_GB2312">
    <w:panose1 w:val="02010609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729829980">
    <w:nsid w:val="671B1C5C"/>
    <w:multiLevelType w:val="singleLevel"/>
    <w:tmpl w:val="671B1C5C"/>
    <w:lvl w:ilvl="0" w:tentative="1">
      <w:start w:val="2"/>
      <w:numFmt w:val="decimal"/>
      <w:suff w:val="nothing"/>
      <w:lvlText w:val="%1、"/>
      <w:lvlJc w:val="left"/>
    </w:lvl>
  </w:abstractNum>
  <w:num w:numId="1">
    <w:abstractNumId w:val="172982998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hmNzZiYTBiYzZkZWVmMDVkZWMzMzgxNTExOGY1ZWUifQ=="/>
  </w:docVars>
  <w:rsids>
    <w:rsidRoot w:val="00000000"/>
    <w:rsid w:val="017A0B78"/>
    <w:rsid w:val="03233BD4"/>
    <w:rsid w:val="056736ED"/>
    <w:rsid w:val="0D1F2693"/>
    <w:rsid w:val="0FF34E61"/>
    <w:rsid w:val="13A9004F"/>
    <w:rsid w:val="2000198D"/>
    <w:rsid w:val="33CE66A7"/>
    <w:rsid w:val="3B8D2AC4"/>
    <w:rsid w:val="740264FA"/>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4">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0</Words>
  <Characters>0</Characters>
  <Lines>0</Lines>
  <Paragraphs>0</Paragraphs>
  <ScaleCrop>false</ScaleCrop>
  <LinksUpToDate>false</LinksUpToDate>
  <CharactersWithSpaces>0</CharactersWithSpaces>
  <Application>WPS Office_10.8.0.5391_F1E327BC-269C-435d-A152-05C5408002CA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2024-10-30T06:21:45Z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2052-10.8.0.5391</vt:lpwstr>
  </property>
  <property fmtid="{D5CDD505-2E9C-101B-9397-08002B2CF9AE}" pid="3" name="ICV">
    <vt:lpwstr>F3B7374FDB3B4C3FBDDD00AD85F6F1BF_12</vt:lpwstr>
  </property>
</Properties>
</file>